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5D_155/2017 vom 5. September 2017</w:t>
      </w:r>
    </w:p>
    <w:p>
      <w:r>
        <w:t>Bundesgericht, 2017-09-05, DE</w:t>
      </w:r>
    </w:p>
    <w:p>
      <w:r>
        <w:rPr>
          <w:b/>
        </w:rPr>
        <w:t xml:space="preserve">Quelle: </w:t>
      </w:r>
      <w:r>
        <w:t>https://mcp.opencaselaw.ch/entscheid/bger_5D_155_2017</w:t>
      </w:r>
    </w:p>
    <w:p>
      <w:r>
        <w:t>FR: TF 5D_155/2017 du 5 septembre 2017</w:t>
      </w:r>
    </w:p>
    <w:p>
      <w:r>
        <w:t>IT: TF 5D_155/2017 del 5 settembre 2017</w:t>
      </w:r>
    </w:p>
    <w:p>
      <w:pPr>
        <w:pStyle w:val="Heading2"/>
      </w:pPr>
      <w:r>
        <w:t>Erwägungen</w:t>
      </w:r>
    </w:p>
    <w:p>
      <w:r>
        <w:rPr>
          <w:b/>
        </w:rPr>
        <w:t>E. 1</w:t>
      </w:r>
    </w:p>
    <w:p>
      <w:r>
        <w:t>Mit Urteil vom 30. Mai 2017 erteilte das Bezirksgericht Affoltern dem Beschwerdegegner in der Betreibung Nr. xxx des Betreibungsamts U.________ gegenüber dem Beschwerdeführer definitive Rechtsöffnung für Fr. 101.10 nebst Zins.</w:t>
      </w:r>
    </w:p>
    <w:p>
      <w:r>
        <w:t>Dagegen erhob der Beschwerdeführer am 13. Juli 2017 Beschwerde an das Obergericht des Kantons Zürich. Mit Urteil vom 24. Juli 2017 wies das Obergericht die Beschwerde ab, soweit es darauf eintrat.</w:t>
      </w:r>
    </w:p>
    <w:p>
      <w:r>
        <w:t>Am 1. September 2017 (Postaufgabe) hat der Beschwerdeführer Beschwerde an das Bundesgericht erhoben.</w:t>
      </w:r>
    </w:p>
    <w:p>
      <w:r>
        <w:rPr>
          <w:b/>
        </w:rPr>
        <w:t>E. 2</w:t>
      </w:r>
    </w:p>
    <w:p>
      <w:r>
        <w:t>Nach den obergerichtlichen Feststellungen ist der Beschwerdeführer verbeiständet. Die Beistandschaft schränke seine Handlungsfähigkeit nicht ein. Insoweit erweist sich die vom Beschwerdeführer persönlich erhobene Beschwerde als zulässig. Sie ist aufgrund des tiefen Streitwerts ( Art. 74 Abs. 1 lit. b BGG ) und mangels Vorliegens einer Rechtsfrage von grundsätzlicher Bedeutung ( Art. 74 Abs. 2 lit. a BGG ) als subsidiäre Verfassungsbeschwerde entgegenzunehmen ( Art. 113 ff. BGG ).</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Der Beschwerdegegner hat als Rechtsöffnungstitel eine Verfügung vom 17. Oktober 2016 und eine Abrechnung vom 21. November 2016 über die Kosten von Fahrzeugprüfungen und Mahngebühren vorgelegt. Vor Bundesgericht wendet der Beschwerdeführer einzig ein, die Schuld für diese Verurteilung liege nicht bei ihm, sondern beim Sozialamt V.________ Er wirft diesem ungetreue Geschäftsführung vor.</w:t>
      </w:r>
    </w:p>
    <w:p>
      <w:r>
        <w:t>Der Beschwerdeführer hat Entsprechendes bereits vor Obergericht vorgebracht. Das Obergericht hat ihm vorgehalten, damit bloss seine bereits vor Bezirksgericht erhobenen Einwände zu wiederholen, ohne sich mit dem bezirksgerichtlichen Entscheid auseinanderzusetzen. Vor Bundesgericht setzt sich der Beschwerdeführer nicht damit auseinander, dass er insofern seine Beschwerde ans Obergericht ungenügend begründet hat. Er legt nicht dar, inwiefern die genannte oder die weiteren Erwägungen des Obergerichts gegen verfassungsmässige Rechte verstossen sollen.</w:t>
      </w:r>
    </w:p>
    <w:p>
      <w:r>
        <w:t>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