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153/2022 vom 15. November 2022</w:t>
      </w:r>
    </w:p>
    <w:p>
      <w:r>
        <w:t>Bundesgericht, 2022-11-15, DE</w:t>
      </w:r>
    </w:p>
    <w:p>
      <w:r>
        <w:rPr>
          <w:b/>
        </w:rPr>
        <w:t xml:space="preserve">Quelle: </w:t>
      </w:r>
      <w:r>
        <w:t>https://mcp.opencaselaw.ch/entscheid/bger_5D_153_2022</w:t>
      </w:r>
    </w:p>
    <w:p>
      <w:r>
        <w:t>FR: TF 5D 153/2022 du 15 novembre 2022</w:t>
      </w:r>
    </w:p>
    <w:p>
      <w:r>
        <w:t>IT: TF 5D 153/2022 del 15 novembre 2022</w:t>
      </w:r>
    </w:p>
    <w:p>
      <w:pPr>
        <w:pStyle w:val="Heading2"/>
      </w:pPr>
      <w:r>
        <w:t>Regeste</w:t>
      </w:r>
    </w:p>
    <w:p>
      <w:r>
        <w:t>Definitive Rechtsöffnung | Schuldbetreibungs- und Konkursrecht</w:t>
      </w:r>
    </w:p>
    <w:p>
      <w:pPr>
        <w:pStyle w:val="Heading2"/>
      </w:pPr>
      <w:r>
        <w:t>Erwägungen</w:t>
      </w:r>
    </w:p>
    <w:p>
      <w:r>
        <w:rPr>
          <w:b/>
        </w:rPr>
        <w:t>E. 1</w:t>
      </w:r>
    </w:p>
    <w:p>
      <w:r>
        <w:t>Mit Urteil vom 29. Juni 2022 erteilte das Bezirksgericht Bülach dem Beschwerdegegner gegenüber dem Beschwerdeführer in der Betreibung Nr. xxx des Betreibungsamtes Bassersdorf-Nürensdorf die definitive Rechtsöffnung für Fr. 12'524.15 nebst Kosten. Dagegen erhob der Beschwerdeführer am 8./9. September 2022 Beschwerde. Mit Beschluss vom 3. Oktober 2022 trat das Obergericht des Kantons Zürich auf die Beschwerde mangels genügender Begründung nicht ein. Das Gesuch um unentgeltliche Rechtspflege für das Beschwerdeverfahren wies es wegen Aussichtslosigkeit der Beschwerde ab. Unter anderem gegen diesen Beschluss hat der Beschwerdeführer am 14. Oktober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macht geltend, das Obergericht sei nicht auf das gesamte IV-Verfahren ab 1986 eingegangen und es habe den Kern der Sache verkannt. Es müsse das gesamte IV-Verfahren 1986 bis 2022 berücksichtigt werden. Das Obergericht hat diesbezüglich erwogen, es sei nicht ersichtlich, was der Beschwerdeführer aus der von ihm verlangten Gesamtbetrachtung für das Rechtsöffnungsverfahren ableiten möchte. Der Gegenstand des Rechtsöffnungsverfahrens ist dem Beschwerdeführer von den kantonalen Instanzen erläutert worden. Inwieweit das Obergericht diesen Gegenstand in verfassungswidriger Weise verkannt haben soll, legt der Beschwerdeführer nicht dar. Es genügt den Rügeanforderungen nicht, dem Obergericht in pauschaler Weise eine Verletzung der Menschenwürde ( Art. 7 BV ) und - im Zusammenhang mit den Begründungsanforderungen - eine IV-Diskriminierung vorzuwerfen. Die Beschwerde enthält offensichtlich keine hinreichende Begründung. Auf sie ist im vereinfachten Verfahren durch das präsidierende Mitglied der Abteilung nicht einzutreten (Art. 117 i.V.m. Art. 108 Abs. 1 lit. b BGG ).</w:t>
      </w:r>
    </w:p>
    <w:p>
      <w:r>
        <w:rPr>
          <w:b/>
        </w:rPr>
        <w:t>E. 3</w:t>
      </w:r>
    </w:p>
    <w:p>
      <w:r>
        <w:t>Es rechtfertigt sich ausnahmsweise, auf die Erhebung von Gerichtskosten zu verzichten ( Art. 66 Abs. 1 BGG ). Das Gesuch um unentgeltliche Rechtspflege für das bundesgerichtliche Verfahren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