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151/2022 vom 31. Oktober 2022</w:t>
      </w:r>
    </w:p>
    <w:p>
      <w:r>
        <w:t>Bundesgericht, 2022-10-31, DE</w:t>
      </w:r>
    </w:p>
    <w:p>
      <w:r>
        <w:rPr>
          <w:b/>
        </w:rPr>
        <w:t xml:space="preserve">Quelle: </w:t>
      </w:r>
      <w:r>
        <w:t>https://mcp.opencaselaw.ch/entscheid/bger_5D_151_2022</w:t>
      </w:r>
    </w:p>
    <w:p>
      <w:r>
        <w:t>FR: TF 5D 151/2022 du 31 octobre 2022</w:t>
      </w:r>
    </w:p>
    <w:p>
      <w:r>
        <w:t>IT: TF 5D 151/2022 del 31 ottobre 2022</w:t>
      </w:r>
    </w:p>
    <w:p>
      <w:pPr>
        <w:pStyle w:val="Heading2"/>
      </w:pPr>
      <w:r>
        <w:t>Regeste</w:t>
      </w:r>
    </w:p>
    <w:p>
      <w:r>
        <w:t>Definitive Rechtsöffnung | Schuldbetreibungs- und Konkursrecht</w:t>
      </w:r>
    </w:p>
    <w:p>
      <w:pPr>
        <w:pStyle w:val="Heading2"/>
      </w:pPr>
      <w:r>
        <w:t>Erwägungen</w:t>
      </w:r>
    </w:p>
    <w:p>
      <w:r>
        <w:rPr>
          <w:b/>
        </w:rPr>
        <w:t>E. 1</w:t>
      </w:r>
    </w:p>
    <w:p>
      <w:r>
        <w:t>Mit Urteil vom 13. Juni 2022 erteilte das Bezirksgericht Zürich dem Beschwerdegegner gegenüber dem Beschwerdeführer in der Betreibung Nr. yyy des Betreibungsamtes Zürich 7 die definitive Rechtsöffnung für Fr. 100.-- nebst Zins sowie für Fr. 1.--, abzüglich Fr. 100.-- (Valuta 6. September 2021). Die Betreibung betrifft eine Ordnungsbusse im Rahmen der direkten Bundessteuer des Jahres 2019. Gegen das Rechtsöffnungsurteil erhob der Beschwerdeführer am 11. Juli 2022 Beschwerde. Mit Urteil vom 6. September 2022 wies das Obergericht des Kantons Zürich die Beschwerde ab, soweit es darauf eintrat. Dagegen - sowie gegen ein weiteres Urteil (dazu Verfahren 5D_150/2022) - hat der Beschwerdeführer am 19. Oktober 2022 Beschwerde an das Bundesgericht erhoben. Am 20. Oktober 2022 hat er eine weitere Eingabe eingereicht.</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setzt sich nicht mit dem angefochtenen Urteil auseinander und er zeigt nicht auf, inwiefern das Obergericht gegen verfassungsmässige Rechte verstossen haben soll. Stattdessen schildert er die Vorgeschichte der Bussenverfügung. Ausserdem macht er geltend, die Betreibung hätte storniert werden müssen, weil er die Busse am 4. September 2021 bezahlt habe. Der Beschwerdeführer scheint zu verkennen, dass diese Zahlung angerechnet wurde (vgl. oben E. 1). Bereits das Bezirksgericht hat in diesem Zusammenhang erwogen, er behaupte nicht und es ergebe sich auch nicht aus den Akten, dass der Rest (Zinsen, Betreibungskosten) beglichen worden sei. Der Beschwerdeführer legt nicht dar, was er diesbezüglich in der kantonalen Beschwerde vorgetragen hat und er geht nicht darauf ein, dass das Obergericht die kantonale Beschwerde als weitgehend mangelhaft begründet und neue Behauptungen als unzulässig erachtet hat.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