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5D_151/2018 vom 24. September 2018</w:t>
      </w:r>
    </w:p>
    <w:p>
      <w:r>
        <w:t>Bundesgericht, 2018-09-24, DE</w:t>
      </w:r>
    </w:p>
    <w:p>
      <w:r>
        <w:rPr>
          <w:b/>
        </w:rPr>
        <w:t xml:space="preserve">Quelle: </w:t>
      </w:r>
      <w:r>
        <w:t>https://mcp.opencaselaw.ch/entscheid/bger_5D_151_2018</w:t>
      </w:r>
    </w:p>
    <w:p>
      <w:r>
        <w:t>FR: TF 5D_151/2018 du 24 septembre 2018</w:t>
      </w:r>
    </w:p>
    <w:p>
      <w:r>
        <w:t>IT: TF 5D_151/2018 del 24 settembre 2018</w:t>
      </w:r>
    </w:p>
    <w:p>
      <w:pPr>
        <w:pStyle w:val="Heading2"/>
      </w:pPr>
      <w:r>
        <w:t>Erwägungen</w:t>
      </w:r>
    </w:p>
    <w:p>
      <w:r>
        <w:rPr>
          <w:b/>
        </w:rPr>
        <w:t>E. 1</w:t>
      </w:r>
    </w:p>
    <w:p>
      <w:r>
        <w:t>Mit Entscheid vom 2. Juli 2018 wies das Zivilgericht des Saanebezirks das Gesuch des Beschwerdeführers um Erteilung der provisorischen Rechtsöffnung in der Betreibung Nr. xxx des Betreibungsamtes des Saanebezirks ab.</w:t>
      </w:r>
    </w:p>
    <w:p>
      <w:r>
        <w:t>Dagegen erhob der Beschwerdeführer am 27. August 2018 Beschwerde an das Kantonsgericht Freiburg. Mit Urteil vom 3. September 2018 trat das Kantonsgericht auf die Beschwerde nicht ein.</w:t>
      </w:r>
    </w:p>
    <w:p>
      <w:r>
        <w:t>Gegen dieses Urteil ist der Beschwerdeführer mit Eingabe vom 19. September 2018 an das Bundesgericht gelangt.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Kantonsgericht ist auf die Beschwerde wegen Verspätung nicht eingetreten. Da die Beschwerde auch die Begründungsanforderungen nicht erfülle, wäre auch aus diesem Grunde darauf nicht einzutreten.</w:t>
      </w:r>
    </w:p>
    <w:p>
      <w:r>
        <w:t>Mit diesen Erwägungen setzt sich der Beschwerdeführer nicht auseinander und er benennt keine verfassungsmässigen Rechte, die verletzt worden sein sollen. Stattdessen bringt er vor, man versuche mit allen Mitteln, ihm die ihm zustehende Forderung vorzuenthalten, für die er sich während sechs Tagen in der Woche jeweils bis Feierabend eingesetzt habe. Er verweist ausserdem auf den Arbeitsvertrag, den er mit dem Restaurant gehabt habe. Sinngemäss möchte er damit wohl geltend machen, es liege - entgegen der Auffassung der ersten Instanz - ein provisorischer Rechtsöffnungstitel vor. Dies hilft jedoch nicht darüber hinweg, dass er sich mit den Erwägungen des Kantonsgerichts mit keinem Wort auseinandersetzt.</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