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5D_14/2026 vom 23. April 2026</w:t>
      </w:r>
    </w:p>
    <w:p>
      <w:r>
        <w:t>Bundesgericht, 2026-04-23, DE</w:t>
      </w:r>
    </w:p>
    <w:p>
      <w:r>
        <w:rPr>
          <w:b/>
        </w:rPr>
        <w:t xml:space="preserve">Quelle: </w:t>
      </w:r>
      <w:r>
        <w:t>https://mcp.opencaselaw.ch/entscheid/bger_5D_14_2026</w:t>
      </w:r>
    </w:p>
    <w:p>
      <w:r>
        <w:t>FR: TF 5D_14/2026 du 23 avril 2026</w:t>
      </w:r>
    </w:p>
    <w:p>
      <w:r>
        <w:t>IT: TF 5D_14/2026 del 23 aprile 2026</w:t>
      </w:r>
    </w:p>
    <w:p>
      <w:pPr>
        <w:pStyle w:val="Heading2"/>
      </w:pPr>
      <w:r>
        <w:t>Erwägungen</w:t>
      </w:r>
    </w:p>
    <w:p>
      <w:r>
        <w:rPr>
          <w:b/>
        </w:rPr>
        <w:t>E. 1</w:t>
      </w:r>
    </w:p>
    <w:p>
      <w:r>
        <w:t>In Zivilsachen können Parteien vor Bundesgericht nur von Anwälten vertreten werden, die nach dem Anwaltsgesetz vom 23. Juni 2000 (BGFA) hierzu berechtigt sind ( Art. 40 Abs. 1 BGG ). Der Lebenspartner der Beschwerdeführerin ist offensichtlich nicht Rechtsanwalt im Sinn des BGFA und deshalb nicht vertretungsbefugt.</w:t>
      </w:r>
    </w:p>
    <w:p>
      <w:r>
        <w:t>Eine auf Art. 42 Abs. 5 BGG gestützte Rückweisung zur Verbesserung des Mangels (namentlich durch eigenhändige Unterzeichnung seitens der Beschwerdeführerin) erübrigt sich jedoch, weil auf die Beschwerde mangels tauglicher Rechtsbegehren und mangels einer hinreichenden Begründung (dazu nachfolgend) ohnehin nicht einzutreten ist.</w:t>
      </w:r>
    </w:p>
    <w:p>
      <w:r>
        <w:rPr>
          <w:b/>
        </w:rPr>
        <w:t>E. 2</w:t>
      </w:r>
    </w:p>
    <w:p>
      <w:r>
        <w:t>Bereits das Bezirks- und das Obergericht haben festgehalten, es sei nicht klar, welche Art von Klage erhoben sein soll. Unbekümmert darum beträgt der Streitwert aber weniger als Fr. 30'000.--, weshalb nicht die Beschwerde in Zivilsachen, sondern die subsidiäre Verfassungsbeschwerde gegeben ist ( Art. 72 Abs. 1, Art. 74 Abs. 1 lit. b, Art. 75 Abs. 1 und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Zunächst fehlt es an einem reformatorischen und umsetzbaren Rechtsbegehren ( Art. 107 Abs. 2 BGG ; BGE 134 III 379 E. 1.3; 137 II 313 E. 1.3 ; 147 I 89 E. 1.2.5).</w:t>
      </w:r>
    </w:p>
    <w:p>
      <w:r>
        <w:t>Sodann ist d ie fast 20-seitige und insgesamt schwer verständliche Beschwerde durchgehend appellatorisch verfasst. Einzig auf S. 3 wird abstrakt festgehalten, es sei "in der Schweiz jegliche Diskriminierung verboten und in der Bundesverfassung der Eidgenossenschaft in Art. 8 ff verankert." Mit dieser allgemeinen Aussage ist indes keine Verfassungsrüge substanziiert. Im Übrigen sind die Ausführungen wie gesagt ausschliesslich appellatorisch; Verfassungsrügen werden weder explizit noch wenigstens dem Sinn nach erhoben.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