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149/2017 vom 24. August 2017</w:t>
      </w:r>
    </w:p>
    <w:p>
      <w:r>
        <w:t>Bundesgericht, 2017-08-24, DE</w:t>
      </w:r>
    </w:p>
    <w:p>
      <w:r>
        <w:rPr>
          <w:b/>
        </w:rPr>
        <w:t xml:space="preserve">Quelle: </w:t>
      </w:r>
      <w:r>
        <w:t>https://mcp.opencaselaw.ch/entscheid/bger_5D_149_2017</w:t>
      </w:r>
    </w:p>
    <w:p>
      <w:r>
        <w:t>FR: TF 5D 149/2017 du 24 août 2017</w:t>
      </w:r>
    </w:p>
    <w:p>
      <w:r>
        <w:t>IT: TF 5D 149/2017 del 24 agosto 2017</w:t>
      </w:r>
    </w:p>
    <w:p>
      <w:pPr>
        <w:pStyle w:val="Heading2"/>
      </w:pPr>
      <w:r>
        <w:t>Regeste</w:t>
      </w:r>
    </w:p>
    <w:p>
      <w:r>
        <w:t>Stundung von Gerichtskosten | Sachenrecht</w:t>
      </w:r>
    </w:p>
    <w:p>
      <w:pPr>
        <w:pStyle w:val="Heading2"/>
      </w:pPr>
      <w:r>
        <w:t>Erwägungen</w:t>
      </w:r>
    </w:p>
    <w:p>
      <w:r>
        <w:rPr>
          <w:b/>
        </w:rPr>
        <w:t>E. 1</w:t>
      </w:r>
    </w:p>
    <w:p>
      <w:r>
        <w:t>Angefochten ist ein in Anwendung von Art. 112 ZPO ergangener Stundungsentscheid für Gerichtskosten. Indes ist der für die Beschwerde in Zivilsachen nötige Mindeststreitwert von Fr. 30'000.-- ( Art. 74 Abs. 1 lit. b BGG ) nicht erreicht, weshalb einzig die subsidiäre Verfassungsbeschwerde offen steht ( Art. 113 BGG ), mit welcher ausschliesslich die Verletzung verfassungsmässiger Rechte gerügt werden kann ( Art. 116 BGG ).</w:t>
      </w:r>
    </w:p>
    <w:p>
      <w:r>
        <w:rPr>
          <w:b/>
        </w:rPr>
        <w:t>E. 2</w:t>
      </w:r>
    </w:p>
    <w:p>
      <w:r>
        <w:t>Mit der Beschwerde werden keine Verfassungsverletzungen angerufen, so dass darauf nicht eingetreten werden kann. Nur der Vollständigkeit halber sei erwähnt, dass die Beschwerde ohnehin auch in der Sache unbegründet wäre: Wie im angefochtenen Entscheid festgehalten ist, wurde der Beschwerdeführer mit Verfügung vom 21. Juni 2017 ausdrücklich darauf aufmerksam gemacht, dass er für die behaupteten finanziellen Schwierigkeiten seine finanziellen Verhältnisse umfassend darlegen müsse, wobei er im Einzelnen darauf hingewiesen wurde, welche Unterlagen er innert 14 Tagen einzureichen hat; ebenfalls folgte die Androhung, dass andernfalls das Stundungsgesuch abgewiesen werden müsse. Dessen ungeachtet liess es der Beschwerdeführer bei blossen Behauptungen und abstrakten Verweisen auf andere Verfahren bewenden. Vor diesem Hintergrund sind (selbst wenn dies im Rahmen formell zulässiger Rügen vorgebracht wäre) keine Verfassungsverletzungen ersichtlich.</w:t>
      </w:r>
    </w:p>
    <w:p>
      <w:r>
        <w:rPr>
          <w:b/>
        </w:rPr>
        <w:t>E. 3</w:t>
      </w:r>
    </w:p>
    <w:p>
      <w:r>
        <w:t>Nach dem Gesagten erweist sich die Beschwerde als offensichtlich unbegründet, weshalb auf sie nicht eingetreten werden kann und der Präsident im vereinfachten Verfahren entscheidet ( Art. 108 Abs. 1 lit. b BGG ).</w:t>
      </w:r>
    </w:p>
    <w:p>
      <w:r>
        <w:rPr>
          <w:b/>
        </w:rPr>
        <w:t>E. 4</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5</w:t>
      </w:r>
    </w:p>
    <w:p>
      <w:r>
        <w:t>Die Gerichtskosten sind dem Beschwerdeführer aufzuerlegen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