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5D_148/2023 vom 28. September 2023</w:t>
      </w:r>
    </w:p>
    <w:p>
      <w:r>
        <w:t>Bundesgericht, 2023-09-28, FR</w:t>
      </w:r>
    </w:p>
    <w:p>
      <w:r>
        <w:rPr>
          <w:b/>
        </w:rPr>
        <w:t xml:space="preserve">Quelle: </w:t>
      </w:r>
      <w:r>
        <w:t>https://mcp.opencaselaw.ch/entscheid/bger_5D_148_2023</w:t>
      </w:r>
    </w:p>
    <w:p>
      <w:r>
        <w:t>FR: TF 5D_148/2023 du 28 septembre 2023</w:t>
      </w:r>
    </w:p>
    <w:p>
      <w:r>
        <w:t>IT: TF 5D_148/2023 del 28 settembre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6 juillet 2023, le Président de la Cour des poursuites et faillites du Tribunal cantonal vaudois a rejeté, dans la mesure de sa recevabilité, la requête d'effet suspensif formée par A.________ à l'appui du recours dirigé contre un prononcé de mainlevée définitive de l'opposition rendu dans la cause l'opposant à l'État de Vaud.</w:t>
      </w:r>
    </w:p>
    <w:p>
      <w:r>
        <w:rPr>
          <w:b/>
        </w:rPr>
        <w:t>E. 2</w:t>
      </w:r>
    </w:p>
    <w:p>
      <w:r>
        <w:t>Par écriture expédiée le 22 juillet 2023, le poursuivi exerce un recours au Tribunal fédéral contre la décision précitée; il sollicite l'attribution de l'effet suspensif au recours ainsi que la suspension de la cause jusqu'à droit connu sur l'issue de "</w:t>
      </w:r>
    </w:p>
    <w:p>
      <w:r>
        <w:t>plaintes pénales ".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Compte tenu de l'insuffisance de la valeur litigieuse et de l'absence de question juridique de principe (art. 74 al. 1 let. b et al. 2 let. a LTF), la présente écriture est traitée comme recours constitutionnel subsidiaire au sens des art. 113 ss LTF . Il apparaît superflu d'examiner les autres conditions de recevabilité, ce procédé étant voué à l'échec.</w:t>
      </w:r>
    </w:p>
    <w:p>
      <w:r>
        <w:rPr>
          <w:b/>
        </w:rPr>
        <w:t>E. 4.1</w:t>
      </w:r>
    </w:p>
    <w:p>
      <w:r>
        <w:t>L'arrêt entrepris a pour objet le rejet de la requête d'effet suspensif que le recourant a formée à l'appui de son recours contre un prononcé de mainlevée d'opposition (</w:t>
      </w:r>
    </w:p>
    <w:p>
      <w:r>
        <w:t>cf .</w:t>
      </w:r>
    </w:p>
    <w:p>
      <w:r>
        <w:t>supra , consid. 1). Les griefs relatifs au calcul "</w:t>
      </w:r>
    </w:p>
    <w:p>
      <w:r>
        <w:t>lacunaire et imparfait " des pensions réclamées par l'intimé sont ainsi irrecevables d'emblée ( ATF 142 I 155 consid. 4.4.2); il en va de même des allégations - dépourvues de pertinence - sur la procédure de divorce (</w:t>
      </w:r>
    </w:p>
    <w:p>
      <w:r>
        <w:t>i.e. garde des enfants et obligation d'entretien à l'égard de son épouse).</w:t>
      </w:r>
    </w:p>
    <w:p>
      <w:r>
        <w:rPr>
          <w:b/>
        </w:rPr>
        <w:t>E. 4.2</w:t>
      </w:r>
    </w:p>
    <w:p>
      <w:r>
        <w:t>Les critiques - pour le moins absconces - adressées au Juge de paix de Nyon s'avèrent aussi irrecevables, seule la décision rendue en dernière instance cantonale étant sujette à recours devant le Tribunal fédéral ( art. 75 al. 1 LTF ).</w:t>
      </w:r>
    </w:p>
    <w:p>
      <w:r>
        <w:rPr>
          <w:b/>
        </w:rPr>
        <w:t>E. 4.3</w:t>
      </w:r>
    </w:p>
    <w:p>
      <w:r>
        <w:t>De jurisprudence constante, la décision refusant d'accorder l'effet suspensif à un recours porte de surcroît sur des mesures provisionnelles au sens de l' art. 98 LTF ( ATF 134 II 192 consid. 1.5), de sorte que le recourant ne peut dénoncer qu'une violation de ses droits consti-tutionnels. Or, en l'espèce, l'intéressé ne soulève pas le moindre grief intelligible de cette nature à l'encontre du motif retenu par le juge précédent, à savoir l'insuffisance de la motivation de la requête quant à l'existence d'un préjudice difficilement réparable. Le recours est dès lors entièrement irrecevable ( art. 106 al. 2 LTF ; ATF 142 III 364 consid. 2.4).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(art. 108 al. 1 let. a et b; art. 117 LTF ), avec suite de frais à la charge du recourant ( art. 66 al. 1 LTF ). Cela étant, les requêtes d'effet suspensif et de suspension n'ont plus d'objet.</w:t>
      </w:r>
    </w:p>
    <w:p>
      <w:r>
        <w:t>Le recourant - dont le mémoire repose essentiellement sur des propos polémiques et tendancieux - est expressément avisé que d'ultérieures écritures du même style seront</w:t>
      </w:r>
    </w:p>
    <w:p>
      <w:r>
        <w:t>classées sans suite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