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5D_144/2018 vom 12. September 2018</w:t>
      </w:r>
    </w:p>
    <w:p>
      <w:r>
        <w:t>Bundesgericht, 2018-09-12, FR</w:t>
      </w:r>
    </w:p>
    <w:p>
      <w:r>
        <w:rPr>
          <w:b/>
        </w:rPr>
        <w:t xml:space="preserve">Quelle: </w:t>
      </w:r>
      <w:r>
        <w:t>https://mcp.opencaselaw.ch/entscheid/bger_5D_144_2018</w:t>
      </w:r>
    </w:p>
    <w:p>
      <w:r>
        <w:t>FR: TF 5D_144/2018 du 12 septembre 2018</w:t>
      </w:r>
    </w:p>
    <w:p>
      <w:r>
        <w:t>IT: TF 5D_144/2018 del 12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30 avril 2018, le Juge de paix du district de l'Ouest lausannois a levé définitivement, à concurrence de 50 fr., l'opposition formée par A.________ au commandement de payer n° x'xxx'xxx qui lui a été notifié par l'Office des poursuites de l'Ouest lausannois à la réquisition du Registre du commerce du canton de Vaud.</w:t>
      </w:r>
    </w:p>
    <w:p>
      <w:r>
        <w:t>Statuant le 27 juillet 2018, la Cour des poursuites et faillites du Tribunal cantonal vaudois a déclaré irrecevable le recours du poursuivi.</w:t>
      </w:r>
    </w:p>
    <w:p>
      <w:r>
        <w:rPr>
          <w:b/>
        </w:rPr>
        <w:t>E. 2</w:t>
      </w:r>
    </w:p>
    <w:p>
      <w:r>
        <w:t>Par écriture mise à la poste le 4 septembre 2018, le poursuivi exerce un recours au Tribunal fédéral; il conclut, en substance, au refus de la mainlevée.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; ATF 134 III 520 consid. 1.1); toutefois, vu l'insuffisance de la valeur litigieuse ( art. 74 al. 1 let. b LTF ), la présente écriture doit être traitée en tant que recours constitutionnel subsidiaire au sens des art. 113 ss LTF . Il n'y a pas besoin de vérifier les autres conditions de recevabilité, car le procédé est voué à l'échec.</w:t>
      </w:r>
    </w:p>
    <w:p>
      <w:r>
        <w:rPr>
          <w:b/>
        </w:rPr>
        <w:t>E. 4.1</w:t>
      </w:r>
    </w:p>
    <w:p>
      <w:r>
        <w:t>En l'espèce, la juridiction précédente a retenu que le recourant n'a formulé aucun grief ou moyen de recours reconnaissable et compréhensible à l'encontre du prononcé du juge de paix; en particulier, il n'a pas contesté les motifs de ce magistrat selon lesquels le poursuivant est au bénéfice d'une décision administrative, assimilée à un jugement exécutoire au sens de l'art. 80 (al. 2 ch. 2) LP, et valant ainsi titre à la mainlevée définitive. Faute d'être motivé conformément aux exigences de l' art. 321 al. 1 CPC , le recours est dès lors irrecevable.</w:t>
      </w:r>
    </w:p>
    <w:p>
      <w:r>
        <w:rPr>
          <w:b/>
        </w:rPr>
        <w:t>E. 4.2</w:t>
      </w:r>
    </w:p>
    <w:p>
      <w:r>
        <w:t>Le présent recours est d'emblée irrecevable en tant qu'il s'écarte de l'objet du litige, tel qu'il est déterminé par l'arrêt entrepris ( ATF 142 I 155 consid. 4.4.2). Pour le surplus, le recourant n'expose nullement en quoi le motif d'irrecevabilité admis par l'autorité précédente violerait ses droits constitutionnels ( art. 106 al. 2 et art. 117 LTF ; ATF 133 III 439 consid. 3.2, avec la jurisprudence citée).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