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5D_144/2016 vom 21. September 2016</w:t>
      </w:r>
    </w:p>
    <w:p>
      <w:r>
        <w:t>Bundesgericht, 2016-09-21, FR</w:t>
      </w:r>
    </w:p>
    <w:p>
      <w:r>
        <w:rPr>
          <w:b/>
        </w:rPr>
        <w:t xml:space="preserve">Quelle: </w:t>
      </w:r>
      <w:r>
        <w:t>https://mcp.opencaselaw.ch/entscheid/bger_5D_144_2016</w:t>
      </w:r>
    </w:p>
    <w:p>
      <w:r>
        <w:t>FR: TF 5D_144/2016 du 21 septembre 2016</w:t>
      </w:r>
    </w:p>
    <w:p>
      <w:r>
        <w:t>IT: TF 5D_144/2016 del 21 settembre 2016</w:t>
      </w:r>
    </w:p>
    <w:p>
      <w:pPr>
        <w:pStyle w:val="Heading2"/>
      </w:pPr>
      <w:r>
        <w:t>Erwägungen</w:t>
      </w:r>
    </w:p>
    <w:p>
      <w:r>
        <w:rPr>
          <w:b/>
        </w:rPr>
        <w:t>E. 1</w:t>
      </w:r>
    </w:p>
    <w:p>
      <w:r>
        <w:t>Par arrêt du 3 août 2016, la Chambre civile de la Cour de justice du canton de Genève a déclaré irrecevable dans la mesure où il était formé par B.A.________, faute pour elle d'être partie à la procédure, et a rejeté dans la mesure où il était formé par A.A.________, un recours du 21 décembre 2015 dirigé contre un jugement du 2 décembre 2015 du Tribunal de première instance du canton de Genève prononçant la mainlevée définitive de l'opposition formée au commandement de payer, poursuite n° xxxx, portant sur un montant de 1'000 fr. plus intérêts à 5% l'an dès le 18 juillet 2014, notifié à A.A.________ à l'instance de l'Etat de Genève.</w:t>
      </w:r>
    </w:p>
    <w:p>
      <w:r>
        <w:t>L'autorité cantonale a considéré pour l'essentiel que le prononcé de mainlevée définitive se fondait sur une décision exécutoire par laquelle A.A.________ avait été condamné à verser, solidairement avec son épouse, un émolument de décision de 1'000 fr. Cette décision constituait bien un titre de mainlevée définitive au sens de l' art. 80 al. 1 LP et le poursuivant était libre d'en réclamer le paiement uniquement à A.A.________ puisqu'il s'agissait d'une solidarité passive. Ce dernier ne pouvait au surplus s'en prendre au bien-fondé de la créance à l'origine de la poursuite dans le cadre de la procédure de mainlevée.</w:t>
      </w:r>
    </w:p>
    <w:p>
      <w:r>
        <w:rPr>
          <w:b/>
        </w:rPr>
        <w:t>E. 2</w:t>
      </w:r>
    </w:p>
    <w:p>
      <w:r>
        <w:t>Par acte du 14 septembre 2016, B.A.________ et A.A.________ interjettent un recours en matière civile au Tribunal fédéral contre cet arrêt qu'il convient de traiter comme un recours constitutionnel subsidiaire compte tenu de la valeur litigieuse inférieure à 30'000 fr. ( art. 74 al. 1 let. b et 113 LTF ). Les recourants requièrent également d'être mis au bénéfice de l'assistance judiciaire pour la procédure fédérale.</w:t>
      </w:r>
    </w:p>
    <w:p>
      <w:r>
        <w:rPr>
          <w:b/>
        </w:rPr>
        <w:t>E. 3</w:t>
      </w:r>
    </w:p>
    <w:p>
      <w:r>
        <w:t>Le recours constitutionnel subsidiaire est irrecevable dans la mesure où les griefs ne sont pas dirigés contre la décision entreprise et dépassent l'objet qu'elle concerne.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Le recours doit donc également être déclaré irrecevable pour ce motif.</w:t>
      </w:r>
    </w:p>
    <w:p>
      <w:r>
        <w:rPr>
          <w:b/>
        </w:rPr>
        <w:t>E. 4</w:t>
      </w:r>
    </w:p>
    <w:p>
      <w:r>
        <w:t>En définitive, le recours doit être déclaré irrecevable selon la procédure simplifiée de l'art. 108 al. 1 let. a à c LTF par renvoi de l' art. 117 LTF . La requête d'assistance judiciaire doit être rejetée faute de chances de succès du recours ( art. 64 al. 1 LTF ). Les frais judiciaires, arrêtés à 200 fr., sont par conséquent mis à la charge des recourants, solidairement entre eux ( art. 66 al. 1 et 5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