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143/2023 vom 8. August 2023</w:t>
      </w:r>
    </w:p>
    <w:p>
      <w:r>
        <w:t>Bundesgericht, 2023-08-08, DE</w:t>
      </w:r>
    </w:p>
    <w:p>
      <w:r>
        <w:rPr>
          <w:b/>
        </w:rPr>
        <w:t xml:space="preserve">Quelle: </w:t>
      </w:r>
      <w:r>
        <w:t>https://mcp.opencaselaw.ch/entscheid/bger_5D_143_2023</w:t>
      </w:r>
    </w:p>
    <w:p>
      <w:r>
        <w:t>FR: TF 5D 143/2023 du 8 août 2023</w:t>
      </w:r>
    </w:p>
    <w:p>
      <w:r>
        <w:t>IT: TF 5D 143/2023 del 8 agosto 2023</w:t>
      </w:r>
    </w:p>
    <w:p>
      <w:pPr>
        <w:pStyle w:val="Heading2"/>
      </w:pPr>
      <w:r>
        <w:t>Regeste</w:t>
      </w:r>
    </w:p>
    <w:p>
      <w:r>
        <w:t>Definitive Rechtsöffnung | Schuldbetreibungs- und Konkursrecht</w:t>
      </w:r>
    </w:p>
    <w:p>
      <w:pPr>
        <w:pStyle w:val="Heading2"/>
      </w:pPr>
      <w:r>
        <w:t>Erwägungen</w:t>
      </w:r>
    </w:p>
    <w:p>
      <w:r>
        <w:rPr>
          <w:b/>
        </w:rPr>
        <w:t>E. 1</w:t>
      </w:r>
    </w:p>
    <w:p>
      <w:r>
        <w:t>Mit Verfügung und Urteil vom 3. Mai 2023 wies das Bezirksgericht Meilen das Gesuch der Beschwerdeführerin um unentgeltliche Rechtspflege ab und erteilte den Gesuchstellern des Rechtsöffnungsverfahrens in der Betreibung Nr. xxx des Betreibungsamtes Küsnacht-Zollikon-Zumikon die definitive Rechtsöffnung für Fr. 4'569.50 nebst Zins, Kosten und Entschädigung. Dagegen erhob die Beschwerdeführerin am 13. Mai 2023 Beschwerde. Das Obergericht des Kantons Zürich legte die beiden Verfahren RT230063 für die definitive Rechtsöffnung und RT230064 für die unentgeltliche Rechtspflege an. Im erstgenannten Verfahren wies es die Beschwerde mit Urteil vom 12. Juni 2023 ab. Dagegen hat die Beschwerdeführerin am 18. Juli 2023 Beschwerde "nach Art. 72 BGG "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Beschwerde in Zivilsachen ( Art. 72 ff. BGG ) unzulässig. Die Eingabe ist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 an das Bundesgericht stellt zu einem grossen Teil eine wörtliche Wiederholung der Beschwerde an das Obergericht dar. Auf diese Weise setzt sich die Beschwerdeführerin gerade nicht mit den Erwägungen des angefochtenen Entscheids auseinander. Dies genügt den Rügeanforderungen nicht ( BGE 134 II 244 E. 2.3). Im Übrigen genügt es den Rügeanforderungen auch nicht, wenn die Beschwerdeführerin dem Obergericht in abstrakter Weise vorwirft, nicht auf ihre Argumente eingegangen zu sein oder in willkürlicher Weise eine Partei zu bevorzugen. Die Beschwerde enthält offensichtlich keine hinreichende Begründung. Das präsidierende Mitglied der Abteilung tritt auf sie im vereinfachten Verfahren nicht ein (Art. 117 i.V.m. Art. 108 Abs. 1 lit. b BGG ).</w:t>
      </w:r>
    </w:p>
    <w:p>
      <w:r>
        <w:rPr>
          <w:b/>
        </w:rPr>
        <w:t>E. 4</w:t>
      </w:r>
    </w:p>
    <w:p>
      <w:r>
        <w:t>Bei diesem Ausgang des Verfahrens trägt die Beschwerdeführerin die Gerichtskosten ( Art. 66 Abs. 1 BGG ). Wie die vorstehenden Erwägungen zeigen, war die Beschwerde von vornherein aussichtslos. Das Gesuch um unentgeltliche Rechtspflege für das bundesgerichtliche Verfahren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