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143/2017 vom 18. August 2017</w:t>
      </w:r>
    </w:p>
    <w:p>
      <w:r>
        <w:t>Bundesgericht, 2017-08-18, DE</w:t>
      </w:r>
    </w:p>
    <w:p>
      <w:r>
        <w:rPr>
          <w:b/>
        </w:rPr>
        <w:t xml:space="preserve">Quelle: </w:t>
      </w:r>
      <w:r>
        <w:t>https://mcp.opencaselaw.ch/entscheid/bger_5D_143_2017</w:t>
      </w:r>
    </w:p>
    <w:p>
      <w:r>
        <w:t>FR: TF 5D 143/2017 du 18 août 2017</w:t>
      </w:r>
    </w:p>
    <w:p>
      <w:r>
        <w:t>IT: TF 5D 143/2017 del 18 agosto 2017</w:t>
      </w:r>
    </w:p>
    <w:p>
      <w:pPr>
        <w:pStyle w:val="Heading2"/>
      </w:pPr>
      <w:r>
        <w:t>Regeste</w:t>
      </w:r>
    </w:p>
    <w:p>
      <w:r>
        <w:t>Definitive Rechtsöffnung | Schuldbetreibungs- und Konkursrecht</w:t>
      </w:r>
    </w:p>
    <w:p>
      <w:pPr>
        <w:pStyle w:val="Heading2"/>
      </w:pPr>
      <w:r>
        <w:t>Erwägungen</w:t>
      </w:r>
    </w:p>
    <w:p>
      <w:r>
        <w:rPr>
          <w:b/>
        </w:rPr>
        <w:t>E. 1</w:t>
      </w:r>
    </w:p>
    <w:p>
      <w:r>
        <w:t>Mit Entscheid vom 9. Juni 2017 erteilte das Bezirksgericht Luzern den Beschwerdegegnern gegenüber dem Beschwerdeführer definitive Rechtsöffnung für Fr. 1'231.-- nebst 3 % Zins seit 28. Februar 2017 sowie für den bis 27. Februar 2017 aufgelaufenen Zins von Fr. 64.45 (Zahlungsbefehl Nr. yyy des Betreibungsamts W.________ vom 28. Februar 2017). Dagegen erhob der Beschwerdeführer am 10. Juli 2017 Beschwerde an das Kantonsgericht Luzern. Mit Entscheid vom 25. Juli 2017 (2C 17 64 / 2U 17 14) trat das Kantonsgericht mangels genügender Begründung auf die Beschwerde nicht ein. Das Gesuch des Beschwerdeführers um unentgeltliche Rechtspflege wies es infolge Aussichtslosigkeit ab. Am 15. August 2017 (Postaufgabe) hat der Beschwerdeführer gegen diesen und einen weiteren Entscheid des Kantonsgerichts (2C 17 63 / 2U 17 13; dazu Verfahren 5D_144/2017) Beschwerde in Zivilsachen an das Bundesgericht erhoben. Er ersucht um unentgeltliche Rechtspflege.</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macht zunächst geltend, das kantonsgerichtliche Verfahren sei nicht richtig verlaufen, nämlich ohne Untersuchung und Schriftenwechsel und im einzelrichterlichen Verfahren. Mit den Ausführungen des Kantonsgerichts zu Verfahrensablauf und Zuständigkeit befasst sich der Beschwerdeführer nicht und er zeigt nicht auf, inwiefern das Verfahren gegen verfassungsmässige Rechte verstossen haben soll. Ebenso wenig setzt sich der Beschwerdeführer damit auseinander, dass er seine kantonale Beschwerde ungenügend begründet hat. Stattdessen wiederholt er seine Ausführungen, die vom Kantonsgericht als unzureichend bzw. als neu und deshalb unzulässig erachtet worden sind (Forderung nach Neuberechnung der Steuern, Vorwurf an das Steueramt U.________, es habe sich widersprüchlich verhalten etc.). Er setzt sich auch nicht damit auseinander, dass er nach den kantonsgerichtlichen Erwägungen gegen die Veranlagungsverfügung hätte Einsprache erheben müssen und er seine Einwände im Rechtsöffnungsverfahren nicht mehr nachholen kann. 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