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5D_140/2021 vom 2. September 2021</w:t>
      </w:r>
    </w:p>
    <w:p>
      <w:r>
        <w:t>Bundesgericht, 2021-09-02, DE</w:t>
      </w:r>
    </w:p>
    <w:p>
      <w:r>
        <w:rPr>
          <w:b/>
        </w:rPr>
        <w:t xml:space="preserve">Quelle: </w:t>
      </w:r>
      <w:r>
        <w:t>https://mcp.opencaselaw.ch/entscheid/bger_5D_140_2021</w:t>
      </w:r>
    </w:p>
    <w:p>
      <w:r>
        <w:t>FR: TF 5D_140/2021 du 2 septembre 2021</w:t>
      </w:r>
    </w:p>
    <w:p>
      <w:r>
        <w:t>IT: TF 5D_140/2021 del 2 settembre 2021</w:t>
      </w:r>
    </w:p>
    <w:p>
      <w:pPr>
        <w:pStyle w:val="Heading2"/>
      </w:pPr>
      <w:r>
        <w:t>Erwägungen</w:t>
      </w:r>
    </w:p>
    <w:p>
      <w:r>
        <w:rPr>
          <w:b/>
        </w:rPr>
        <w:t>E. 1</w:t>
      </w:r>
    </w:p>
    <w:p>
      <w:r>
        <w:t>Am 13. Juni 2021 (Postaufgabe) ersuchte der Beschwerdeführer das Bezirksgericht Zürich, ihm in der Betreibung Nr. xxx des Betreibungsamtes Zürich 4 gegenüber der Beschwerdegegnerin Rechtsöffnung für Fr. 2'730.-- nebst Zins zu 6 % seit 17. April 2021 sowie für Spesen und Zeitaufwand zu erteilen. Mit Urteil vom 15. Juni 2021 wies das Bezirksgericht das Gesuch mangels eines Rechtsöffnungstitels ab.</w:t>
      </w:r>
    </w:p>
    <w:p>
      <w:r>
        <w:t>Dagegen erhob der Beschwerdeführer am 23. Juni 2021 Beschwerde beim Obergericht des Kantons Zürich. In der gleichen Rechtsschrift erhob er gegen die Beschwerdegegnerin eine Forderungsklage. Mit Beschluss vom 1. Juli 2021 trat das Obergericht auf die Beschwerde mangels hinreichender Begründung und auf die Klage mangels Zuständigkeit nicht ein.</w:t>
      </w:r>
    </w:p>
    <w:p>
      <w:r>
        <w:t>Dagegen hat der Beschwerdeführer am 23. Juli 2021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geht nicht darauf ein, dass seine Beschwerde mangelhaft begründet war. Er bestreitet auch die obergerichtliche Erwägung nicht, dass er seine Klage beim Friedensrichteramt einreichen müsse. Es genügt den strengen Rügeanforderungen nicht, wenn der Beschwerdeführer geltend macht, ungerecht behandelt worden zu sein oder die Justiz habe die Augen verbunden. Im Wesentlichen richten sich seine Vorwürfe gegen das Bezirksgericht, das ihn falsch bzw. nicht darüber informiert habe, wie er vorgehen müsse. Entsprechende Vorwürfe hätte er in seiner Beschwerde an das Obergericht vorbringen müssen. Sie können nun nicht erstmals vor Bundesgericht erhoben werden. Der Beschwerdeführer macht sodann geltend, das Obergericht habe ihm keinen Anwalt bestellt. Er macht aber weder geltend, er habe ein entsprechendes Gesuch gestellt, noch legt er dar, weshalb ihm das Obergericht von Amtes wegen hätte einen Anwalt bestellen müssen.</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4</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