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13/2023 vom 17. Februar 2023</w:t>
      </w:r>
    </w:p>
    <w:p>
      <w:r>
        <w:t>Bundesgericht, 2023-02-17, DE</w:t>
      </w:r>
    </w:p>
    <w:p>
      <w:r>
        <w:rPr>
          <w:b/>
        </w:rPr>
        <w:t xml:space="preserve">Quelle: </w:t>
      </w:r>
      <w:r>
        <w:t>https://mcp.opencaselaw.ch/entscheid/bger_5D_13_2023</w:t>
      </w:r>
    </w:p>
    <w:p>
      <w:r>
        <w:t>FR: TF 5D 13/2023 du 17 février 2023</w:t>
      </w:r>
    </w:p>
    <w:p>
      <w:r>
        <w:t>IT: TF 5D 13/2023 del 17 febbraio 2023</w:t>
      </w:r>
    </w:p>
    <w:p>
      <w:pPr>
        <w:pStyle w:val="Heading2"/>
      </w:pPr>
      <w:r>
        <w:t>Regeste</w:t>
      </w:r>
    </w:p>
    <w:p>
      <w:r>
        <w:t>Definitive Rechtsöffnung | Schuldbetreibungs- und Konkursrecht</w:t>
      </w:r>
    </w:p>
    <w:p>
      <w:pPr>
        <w:pStyle w:val="Heading2"/>
      </w:pPr>
      <w:r>
        <w:t>Erwägungen</w:t>
      </w:r>
    </w:p>
    <w:p>
      <w:r>
        <w:rPr>
          <w:b/>
        </w:rPr>
        <w:t>E. 1</w:t>
      </w:r>
    </w:p>
    <w:p>
      <w:r>
        <w:t>Mit Entscheid vom 11. November 2022 erteilte das Kreisgericht Wil dem Beschwerdegegner gegenüber der Beschwerdeführerin in der Betreibung Nr. yyy des Betreibungsamtes Uzwil die definitive Rechtsöffnung für Fr. 2'114.60 zuzüglich Zins und abzüglich neunzehn Teilzahlungen à Fr. 100.--. Dagegen erhob die Beschwerdeführerin am 24. November 2022 Beschwerde. Mit Entscheid vom 21. Dezember 2022 wies das Kantonsgericht St. Gallen die Beschwerde ab. Dagegen hat die Beschwerdeführerin am 19. Januar 2023 (Postaufgabe) subsidiäre Verfassungsbeschwerde bzw. Beschwerde an das Bundesgericht erhoben. Mit derselben Eingabe hat auch ihr Ehemann ein ihn betreffendes Rechtsöffnungsurteil angefochten (dazu Verfahren 5D_12/2023). Das Bundesgericht hat die Akten beigezogen.</w:t>
      </w:r>
    </w:p>
    <w:p>
      <w:r>
        <w:rPr>
          <w:b/>
        </w:rPr>
        <w:t>E. 2</w:t>
      </w:r>
    </w:p>
    <w:p>
      <w:r>
        <w:t>Aufgrund des unter Fr. 30'000.-- liegenden Streitwerts ( Art. 74 Abs. 1 lit. b BGG ) und mangels Vorliegens einer Rechtsfrage von grundsätzlicher Bedeutung ( Art. 74 Abs. 2 lit. a BGG ; dazu BGE 146 III 237 E. 1 mit Hinweisen) ist die Beschwerde in Zivilsachen unzulässig. Die Eingabe ist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Beschwerdeführerin macht zusammengefasst geltend, sämtliche staatlichen Institutionen der Schweiz seien mit kriminellen Organisationen vergleichbar, da sie sich über Steuern, Bussen etc. finanzierten. Menschenrechtskonform sei nur eine freiwillige Finanzierung des Staates. Es sei aus rechtlichen, moralischen, Glaubens- und Gewissensgründen nicht zumutbar, einen Unrechtsstaat zu finanzieren. Als deutsche Staatsbürgerin müsse sie ihre Situation in der Schweiz mit der Zeit des Naziregimes in Deutschland vergleichen. Sie sei nicht bereit, finanziell zu Verbrechen (Coronaimpfungen, Unterstützung von Nazis in der Ukraine) beizutragen. Der Gesetzgeber dürfe zwar Steuergesetze verfassen (freie Meinungsäusserung), doch niemand dürfe diese durchsetzen. Es verstosse gegen die Menschenrechte, Ehepaare zu gleichen Teilen für Steuerschulden haftbar zu machen. Sie habe weder einen Vertrag unterschrieben noch zugestimmt, sich staatlichen Ansprüchen zu unterwerfen. Ihr Name sei in allen Dokumenten der Behörden, Gerichte etc. falsch geschrieben, weshalb diese nichtig und nicht an sie gerichtet seien. Zudem äussert sie sich zur Unterschrift auf den Entscheiden der Steuerbehörden und auf dem Zahlungsbefehl und zur Beamteneigenschaft der Betreibungsbeamten. Bei alldem fehlt eine Auseinandersetzung mit den kantonsgerichtlichen Erwägungen. Es genügt den Rügeanforderungen nicht, sich in abstrakter Weise auf die Menschenrechte zu berufen, dem Kantonsgericht Rechtsbeugung vorzuwerfen oder zu behaupten, es habe alle Einwendungen ignoriert. Soweit die Beschwerdeführerin die Einleitung von Strafverfahren fordert, steht es ihr frei, an die Strafbehörden zu gelangen. 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