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5D_139/2018 vom 23. August 2018</w:t>
      </w:r>
    </w:p>
    <w:p>
      <w:r>
        <w:t>Bundesgericht, 2018-08-23, DE</w:t>
      </w:r>
    </w:p>
    <w:p>
      <w:r>
        <w:rPr>
          <w:b/>
        </w:rPr>
        <w:t xml:space="preserve">Quelle: </w:t>
      </w:r>
      <w:r>
        <w:t>https://mcp.opencaselaw.ch/entscheid/bger_5D_139_2018</w:t>
      </w:r>
    </w:p>
    <w:p>
      <w:r>
        <w:t>FR: TF 5D_139/2018 du 23 août 2018</w:t>
      </w:r>
    </w:p>
    <w:p>
      <w:r>
        <w:t>IT: TF 5D_139/2018 del 23 agosto 2018</w:t>
      </w:r>
    </w:p>
    <w:p>
      <w:pPr>
        <w:pStyle w:val="Heading2"/>
      </w:pPr>
      <w:r>
        <w:t>Erwägungen</w:t>
      </w:r>
    </w:p>
    <w:p>
      <w:r>
        <w:rPr>
          <w:b/>
        </w:rPr>
        <w:t>E. 1</w:t>
      </w:r>
    </w:p>
    <w:p>
      <w:r>
        <w:t>Das Bezirksgericht Visp verpflichtete den Beschwerdeführer mit Entscheid vom 11. Juli 2018, der Beschwerdegegnerin im Hinblick auf die Ausarbeitung einer Scheidungskonvention bzw. das einzuleitende Scheidungsverfahren unter Anrechnung auf ihre güterrechtlichen Ansprüche einen Prozesskostenvorschuss von Fr. 3'000.-- zu bezahlen.</w:t>
      </w:r>
    </w:p>
    <w:p>
      <w:r>
        <w:t>Gegen diesen Entscheid erhob der Beschwerdeführer am 17. Juli 2018 "Berufung" an das Kantonsgericht Wallis. Er ersuchte um aufschiebende Wirkung. Mit Entscheid vom 19. Juli 2018 wies das Kantonsgericht das Gesuch um aufschiebende Wirkung ab.</w:t>
      </w:r>
    </w:p>
    <w:p>
      <w:r>
        <w:t>Dagegen hat der Beschwerdeführer am 22. August 2018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Kantonsgericht hat das Gesuch um aufschiebende Wirkung abgewiesen, da der Vollstreckungsaufschub eine Ausnahme bilden soll und die drohende Vollstreckung einer Geldforderung für sich allein grundsätzlich ohnehin nicht genüge, um die Erteilung der aufschiebenden Wirkung zu rechtfertigen. Der Beschwerdeführer habe weder nachgewiesen noch glaubhaft gemacht, dass ihm Zahlungsschwierigkeiten drohten oder dass die Möglichkeit der Rückforderung bei Gutheissung des Rechtsmittels ungewiss erscheine.</w:t>
      </w:r>
    </w:p>
    <w:p>
      <w:r>
        <w:t>Vor Bundesgericht geht der Beschwerdeführer nicht konkret auf diese Erwägungen ein und er nennt keine verfassungsmässigen Rechte, die verletzt worden sein sollen. Im Wesentlichen äussert er sich zur Frage, ob der Prozesskostenvorschuss gerechtfertigt sei. Dies ist nicht Verfahrensgegenstand. Er behauptet zwar, dass er den Prozesskostenvorschuss nicht bezahlen könne und die Bezahlung den Beginn seines persönlichen und wirtschaftlichen Niedergangs darstellen würde. Dabei handelt es sich um appellatorische Behauptungen. Es fehlt jegliche Auseinandersetzung damit, dass er Entsprechendes vor Kantonsgericht nicht nachgewiesen hat. Der Verweis auf die angebliche Aktenlage, die das Kantonsgericht hätte berücksichtigen sollen, hilft darüber nicht hinweg.</w:t>
      </w:r>
    </w:p>
    <w:p>
      <w:r>
        <w:t>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Wie die vorstehenden Erwägungen zeigen, war die Beschwerde von Anfang an aussichtslos. Das Gesuch um unentgeltliche Rechtspflege und Verbeiständung ist abzuweisen, soweit es nicht gegenstandslos geworden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