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138/2023 vom 10. August 2023</w:t>
      </w:r>
    </w:p>
    <w:p>
      <w:r>
        <w:t>Bundesgericht, 2023-08-10, DE</w:t>
      </w:r>
    </w:p>
    <w:p>
      <w:r>
        <w:rPr>
          <w:b/>
        </w:rPr>
        <w:t xml:space="preserve">Quelle: </w:t>
      </w:r>
      <w:r>
        <w:t>https://mcp.opencaselaw.ch/entscheid/bger_5D_138_2023</w:t>
      </w:r>
    </w:p>
    <w:p>
      <w:r>
        <w:t>FR: TF 5D 138/2023 du 10 août 2023</w:t>
      </w:r>
    </w:p>
    <w:p>
      <w:r>
        <w:t>IT: TF 5D 138/2023 del 10 agosto 2023</w:t>
      </w:r>
    </w:p>
    <w:p>
      <w:pPr>
        <w:pStyle w:val="Heading2"/>
      </w:pPr>
      <w:r>
        <w:t>Regeste</w:t>
      </w:r>
    </w:p>
    <w:p>
      <w:r>
        <w:t>Definitive Rechtsöffnung | Schuldbetreibungs- und Konkursrecht</w:t>
      </w:r>
    </w:p>
    <w:p>
      <w:pPr>
        <w:pStyle w:val="Heading2"/>
      </w:pPr>
      <w:r>
        <w:t>Erwägungen</w:t>
      </w:r>
    </w:p>
    <w:p>
      <w:r>
        <w:rPr>
          <w:b/>
        </w:rPr>
        <w:t>E. 1</w:t>
      </w:r>
    </w:p>
    <w:p>
      <w:r>
        <w:t>Mit Verfügung vom 17. April 2023 erteilte das Kantonsgericht Glarus der Beschwerdegegnerin gegenüber der Beschwerdeführerin für eine Steuerforderung in der Betreibung Nr. yyy des Betreibungsamtes des Kantons Glarus die definitive Rechtsöffnung für Fr. 31.55 nebst Zins, Kosten und Entschädigung. Dagegen erhob die Beschwerdeführerin am 1. Mai 2023 Beschwerde beim Obergericht des Kantons Glarus. Während der Nachfrist zur Zahlung des Kostenvorschusses von Fr. 150.-- ersuchte die Beschwerdeführerin um unentgeltliche Rechtspflege. Mit Verfügung vom 25. Mai 2023 wies das Obergericht das Gesuch ab, da die Beschwerde offensichtlich aussichtslos sei. Mit Verfügung vom 9. Juni 2023 trat das Obergericht auf die Beschwerde mangels Zahlung des Kostenvorschusses nicht ein. Am 14. Juli 2023 (Postaufgabe) hat die Beschwerdeführerin Beschwerde an das Bundesgericht erhoben.</w:t>
      </w:r>
    </w:p>
    <w:p>
      <w:r>
        <w:rPr>
          <w:b/>
        </w:rPr>
        <w:t>E. 2</w:t>
      </w:r>
    </w:p>
    <w:p>
      <w:r>
        <w:t>Der Streitwert liegt unter Fr. 30'000.-- ( Art. 74 Abs. 1 lit. b BGG ). Die Beschwerdeführerin behauptet, es liege eine "Rechtslage" von grundsätzlicher Bedeutung vor. Soweit sie eine Rechtsfrage von grundsätzlicher Bedeutung ( Art. 74 Abs. 2 lit. a BGG ) geltend machen möchte, legt sie entgegen Art. 42 Abs. 2 BGG nicht dar, worin diese bestehen soll. Die Beschwerde in Zivilsachen ( Art. 72 ff. BGG ) ist damit unzulässig. Die Eingabe ist als subsidiäre Verfassungsbeschwerde zu behandeln ( Art. 113 ff. BGG ). Die Beschwerdeführerin ficht sinngemäss auch die Verfügung vom 25. Mai 2023 mit an, was zulässig ist (Art. 117 i.V.m. Art. 93 Abs. 3 BGG ). 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Beschwerdeführerin äussert sich zu ihrem Existenzminimum. Dabei wehrt sie sich in erster Linie gegen Steuerforderungen. Dies ist jedoch nicht Thema des bundesgerichtlichen Verfahrens, in dem es einzig um die Frage geht, ob das Obergericht verfassungsmässige Rechte verletzt hat, indem es auf die kantonale Beschwerde nicht eingetreten ist. Nur am Rande geht die Beschwerdeführerin auf die Gerichtskosten bzw. den entsprechenden Vorschuss ein und sie fordert, dass auch Leute an der Armutsgrenze ihre Rechte wahrnehmen können sollen. Es fehlt jedoch eine Auseinandersetzung damit, dass das Obergericht ihre kantonale Beschwerde als aussichtslos erachtet hat. Es genügt den Rügeanforderungen nicht, dies als "unerhört" zu bezeichnen. Die Beschwerdeführerin äussert sich sodann zu anderen Verfahren und fordert ein Ende der "Trickserei". Auf diese allgemeinen Vorbringen ohne Bezug zum vorliegenden Verfahren ist nicht einzugehen. Die Beschwerde enthält offensichtlich keine hinreichende Begründung. Das präsidierende Mitglied der Abteilung tritt auf sie im vereinfachten Verfahren nicht ein (Art. 117 i.V.m.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