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5D_138/2021 vom 17. September 2021</w:t>
      </w:r>
    </w:p>
    <w:p>
      <w:r>
        <w:t>Bundesgericht, 2021-09-17, IT</w:t>
      </w:r>
    </w:p>
    <w:p>
      <w:r>
        <w:rPr>
          <w:b/>
        </w:rPr>
        <w:t xml:space="preserve">Quelle: </w:t>
      </w:r>
      <w:r>
        <w:t>https://mcp.opencaselaw.ch/entscheid/bger_5D_138_2021</w:t>
      </w:r>
    </w:p>
    <w:p>
      <w:r>
        <w:t>FR: TF 5D_138/2021 du 17 septembre 2021</w:t>
      </w:r>
    </w:p>
    <w:p>
      <w:r>
        <w:t>IT: TF 5D_138/2021 del 17 settembre 2021</w:t>
      </w:r>
    </w:p>
    <w:p>
      <w:pPr>
        <w:pStyle w:val="Heading2"/>
      </w:pPr>
      <w:r>
        <w:t>Erwägungen</w:t>
      </w:r>
    </w:p>
    <w:p>
      <w:r>
        <w:rPr>
          <w:b/>
        </w:rPr>
        <w:t>E. 1</w:t>
      </w:r>
    </w:p>
    <w:p>
      <w:r>
        <w:t>Con due decisioni 1° febbraio 2021 il Pretore del Distretto di Lugano ha parzialmente accolto due istanze introdotte dal Condominio C.________, rigettando in via definitiva (limitatamente a fr. 13'262.-- e fr. 1'657.43) le opposizioni interposte da A.________ e B.________ ai rispettivi precetti esecutivi fatti spiccare dal predetto condominio.</w:t>
      </w:r>
    </w:p>
    <w:p>
      <w:r>
        <w:t>Mediante sentenza 9 giugno 2021 la Camera di esecuzione e fallimenti del Tribunale d'appello del Cantone Ticino ha respinto i due reclami presentati il 18 febbraio 2021 dagli escussi. La Corte cantonale ha confermato che il decreto ingiuntivo del 10 luglio 2018 del Tribunale ordinario di Como - riconosciuto e dichiarato esecutivo in Svizzera con decisione esecutiva (v. anche sentenze 5D_166/2020 del 7 settembre 2020 e 5F_30/2020 del 3 febbraio 2021) - costituisce valido titolo di rigetto definitivo dell'opposizione giusta l' art. 80 LEF . La Corte cantonale ha in particolare osservato che l'argomento secondo cui la somma totale stabilita nel decreto ingiuntivo italiano avrebbe dovuto essere divisa a metà tra gli escussi era tardivo e in ogni modo infondato dato che la solidarietà passiva era presunta in diritto italiano ( art. 1294 del Codice civile italiano) e risultava anche in modo implicito sia dal decreto ingiuntivo sia dai precetti esecutivi e dalle istanze di rigetto.</w:t>
      </w:r>
    </w:p>
    <w:p>
      <w:r>
        <w:rPr>
          <w:b/>
        </w:rPr>
        <w:t>E. 2</w:t>
      </w:r>
    </w:p>
    <w:p>
      <w:r>
        <w:t>Mediante ricorso datato 21 luglio 2021 A.________ e B.________ hanno impugnato la sentenza cantonale dinanzi al Tribunale federale, chiedendo di annullarla.</w:t>
      </w:r>
    </w:p>
    <w:p>
      <w:r>
        <w:t>Non sono state chieste determinazioni.</w:t>
      </w:r>
    </w:p>
    <w:p>
      <w:r>
        <w:rPr>
          <w:b/>
        </w:rPr>
        <w:t>E. 3</w:t>
      </w:r>
    </w:p>
    <w:p>
      <w:r>
        <w:t>L'istanza datata 21 luglio 2021 presentata dai ricorrenti contestualmente al loro rimedio e volta al risarcimento del danno asseritamente causato "da un impiegato dell'ufficio di esecuzione e fallimenti di Lugano" per avere in sostanza emesso i precetti esecutivi "sulla base del titolo di credito illecito" (ovvero su un decreto ingiuntivo italiano che non era ancora stato riconosciuto e dichiarato esecutivo in Svizzera) nonè, contrariamente a quanto pretendono i ricorrenti, di "competenza del Tribunale federale secondo art. 7 LEF " (v. anche sentenza 5A_943/2017 del 4 maggio 2018 consid. 3.5) e risulta quindi di primo acchito inammissibile.</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w:t>
      </w:r>
    </w:p>
    <w:p>
      <w:r>
        <w:t>Nell'impugnativa all'esame i ricorrenti rimproverano al Tribunale d'appello (oltre alla semplice violazione di norme di diritto federale) la lesione del "diritto costituzionale di essere sentito art. 29 cpv. 1 e 2 Costituzione federale", in particolare per non essere "entrato nel merito della somma del procedimento di esecuzione e fallimenti". La censura - confusa, generica e priva di un serio confronto con i considerandi dell'impugnata sentenza - non soddisfa però le severe esigenze di motivazione dei combinati art. 117 e 106 cpv. 2 LTF .</w:t>
      </w:r>
    </w:p>
    <w:p>
      <w:r>
        <w:rPr>
          <w:b/>
        </w:rPr>
        <w:t>E. 5</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dei ricorrenti.</w:t>
      </w:r>
    </w:p>
    <w:p>
      <w:r>
        <w:t>3.</w:t>
      </w:r>
    </w:p>
    <w:p>
      <w:r>
        <w:t>Comunicazione alle parti e alla Camera di esecuzione e fallimenti del Tribunale d'appello del Cantone Ticino.</w:t>
      </w:r>
    </w:p>
    <w:p>
      <w:r>
        <w:t>Losanna, 17 settembre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