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5D_136/2023 vom 28. Juli 2023</w:t>
      </w:r>
    </w:p>
    <w:p>
      <w:r>
        <w:t>Bundesgericht, 2023-07-28, FR</w:t>
      </w:r>
    </w:p>
    <w:p>
      <w:r>
        <w:rPr>
          <w:b/>
        </w:rPr>
        <w:t xml:space="preserve">Quelle: </w:t>
      </w:r>
      <w:r>
        <w:t>https://mcp.opencaselaw.ch/entscheid/bger_5D_136_2023</w:t>
      </w:r>
    </w:p>
    <w:p>
      <w:r>
        <w:t>FR: TF 5D_136/2023 du 28 juillet 2023</w:t>
      </w:r>
    </w:p>
    <w:p>
      <w:r>
        <w:t>IT: TF 5D_136/2023 del 28 luglio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5D_136/2023</w:t>
      </w:r>
    </w:p>
    <w:p>
      <w:r>
        <w:t>Arrêt du 28 juillet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Fribourg,</w:t>
      </w:r>
    </w:p>
    <w:p>
      <w:r>
        <w:t>représenté par le Service cantonal des contributions, Encaissement et contentieux,</w:t>
      </w:r>
    </w:p>
    <w:p>
      <w:r>
        <w:t>rue Joseph-Piller 13, case postale, 1701 Fribourg,</w:t>
      </w:r>
    </w:p>
    <w:p>
      <w:r>
        <w:t>intimé.</w:t>
      </w:r>
    </w:p>
    <w:p>
      <w:r>
        <w:t>Objet</w:t>
      </w:r>
    </w:p>
    <w:p>
      <w:r>
        <w:t>mainlevée d'opposition,</w:t>
      </w:r>
    </w:p>
    <w:p>
      <w:r>
        <w:t>recours contre l'arrêt du Vice-Président de la II e Cour d'appel civil du Tribunal cantonal de l'État de Fribourg</w:t>
      </w:r>
    </w:p>
    <w:p>
      <w:r>
        <w:t>du 31 mai 2023 (102 2023 84).</w:t>
      </w:r>
    </w:p>
    <w:p>
      <w:r>
        <w:t>Vu :</w:t>
      </w:r>
    </w:p>
    <w:p>
      <w:r>
        <w:t>le jugement du Président du Tribunal de l'arrondissement de la Sarine du 4 mai 2023 déclarant irrecevable la requête de récusation déposée par A.________ et prononçant la mainlevée définitive de l'opposition au commandement de payer formée par le prénommé à concurrence de 2'304 fr. 50 plus intérêts à 5 % dès le 25 octobre 2022 et de 86 fr. 55 à titre d'intérêts échus (</w:t>
      </w:r>
    </w:p>
    <w:p>
      <w:r>
        <w:t>poursuite n° xxx de l'Office des poursuites de la Broye );</w:t>
      </w:r>
    </w:p>
    <w:p>
      <w:r>
        <w:t>l'arrêt du Vice-Président de la II e Cour d'appel civil du Tribunal cantonal fribourgeois du 31 mai 2023 déclarant manifestement irrecevable pour défaut de motivation ( art. 321 al. 1 CPC ) le recours du poursuivi;</w:t>
      </w:r>
    </w:p>
    <w:p>
      <w:r>
        <w:t>le recours au Tribunal fédéral interjeté le 13 juillet 2023 par le poursuivi contre l'arrêt précité;</w:t>
      </w:r>
    </w:p>
    <w:p>
      <w:r>
        <w:t>considérant :</w:t>
      </w:r>
    </w:p>
    <w:p>
      <w:r>
        <w:t>que, faute de valeur litigieuse suffisante ( art. 74 al. 1 let. b LTF ) et de question juridique de principe ( art. 74 al. 2 let. a LTF ), l'écriture du recourant est traitée en tant que recours constitutionnel subsidiaire au sens des art. 113 ss LTF ;</w:t>
      </w:r>
    </w:p>
    <w:p>
      <w:r>
        <w:t>que le recourant ne soulève pas le moindre grief compréhensible et de nature constitutionnelle à l'encontre du motif d'irrecevabilité retenu par le magistrat précédent ( art. 116 LTF );</w:t>
      </w:r>
    </w:p>
    <w:p>
      <w:r>
        <w:t>que, partant, le présent recours doit être déclaré irrecevable ( art. 106 al. 2 et art. 117 LTF ; ATF 136 I 332 consid. 2.1) par voie de procédure simplifiée ( art. 108 al. 1 let. b et art. 117 LTF );</w:t>
      </w:r>
    </w:p>
    <w:p>
      <w:r>
        <w:t>que les frais incombent au recourant ( art. 66 al. 1 LTF );</w:t>
      </w:r>
    </w:p>
    <w:p>
      <w:r>
        <w:t>que le recourant est expressément avisé que d'ultérieures écritures du même style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au Vice-Président de la II e Cour d'appel civil du Tribunal cantonal de l'État de Fribourg.</w:t>
      </w:r>
    </w:p>
    <w:p>
      <w:r>
        <w:t>Lausanne, le 28 juillet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