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135/2023 vom 17. Juli 2023</w:t>
      </w:r>
    </w:p>
    <w:p>
      <w:r>
        <w:t>Bundesgericht, 2023-07-17, DE</w:t>
      </w:r>
    </w:p>
    <w:p>
      <w:r>
        <w:rPr>
          <w:b/>
        </w:rPr>
        <w:t xml:space="preserve">Quelle: </w:t>
      </w:r>
      <w:r>
        <w:t>https://mcp.opencaselaw.ch/entscheid/bger_5D_135_2023</w:t>
      </w:r>
    </w:p>
    <w:p>
      <w:r>
        <w:t>FR: TF 5D 135/2023 du 17 juillet 2023</w:t>
      </w:r>
    </w:p>
    <w:p>
      <w:r>
        <w:t>IT: TF 5D 135/2023 del 17 luglio 2023</w:t>
      </w:r>
    </w:p>
    <w:p>
      <w:pPr>
        <w:pStyle w:val="Heading2"/>
      </w:pPr>
      <w:r>
        <w:t>Regeste</w:t>
      </w:r>
    </w:p>
    <w:p>
      <w:r>
        <w:t>Definitive Rechtsöffnung | Schuldbetreibungs- und Konkursrecht</w:t>
      </w:r>
    </w:p>
    <w:p>
      <w:pPr>
        <w:pStyle w:val="Heading2"/>
      </w:pPr>
      <w:r>
        <w:t>Erwägungen</w:t>
      </w:r>
    </w:p>
    <w:p>
      <w:r>
        <w:rPr>
          <w:b/>
        </w:rPr>
        <w:t>E. 1</w:t>
      </w:r>
    </w:p>
    <w:p>
      <w:r>
        <w:t>Der für die Beschwerde in Zivilsachen erforderliche Mindeststreitwert von Fr. 30'000.-- ( Art. 74 Abs. 1 lit. b BGG ) wird nicht erreicht. Somit steht nur die subsidiäre Verfassungsbeschwerde zur Verfügung ( Art. 113 BGG ). Mit ihr kann einzig die Verletzung verfassungsmässiger Rechte gerügt werden ( Art. 116 BGG ), wofür das strenge Rügeprinzip gilt (Art. 106 Abs. 2 i.V.m. Art. 117 BGG ).</w:t>
      </w:r>
    </w:p>
    <w:p>
      <w:r>
        <w:rPr>
          <w:b/>
        </w:rPr>
        <w:t>E. 2</w:t>
      </w:r>
    </w:p>
    <w:p>
      <w:r>
        <w:t>Das Obergericht hat erwogen, die Beschwerdeführerin mache geltend, es werde ihr regelmässig die Post entwendet und sie habe gesundheitliche Probleme, wobei sich ihr Gesundheitszustand stetig verschlechtere. Die möglichen Einwände bei der definitiven Rechtsöffnung, welche sich vorliegend auf den rechtskräftigen Strafbefehl stütze, würden sich aber auf den Nachweis von Tilgung, Stundung oder Verjährung der betriebenen Forderung beschränken; solches bringe die Beschwerdeführerin nicht vor.</w:t>
      </w:r>
    </w:p>
    <w:p>
      <w:r>
        <w:rPr>
          <w:b/>
        </w:rPr>
        <w:t>E. 3</w:t>
      </w:r>
    </w:p>
    <w:p>
      <w:r>
        <w:t>Die Beschwerdeführerin macht weder explizit noch implizit Verfassungsrügen geltend und ohnehin gehen ihre Ausführungen an den Erwägungen des angefochtenen Urteils vorbei (weitschweifige Schilderung von Sachverhaltsfragmenten, die im Zusammenhang mit der strafrechtlichen Verurteilung zu stehen scheinen, sowie Vorwürfe an Polizei, Behörden etc. im Kontext mit dem Strafverfahren, sodann Ausführungen zum gesundheitlichen Zustand und zur Post, was alles im Rechtsöffnungsverfahren nicht thematisiert werden kann). Irgendwelche auf die definitive Rechtsöffnung beziehenden Vorbringen sind nicht ersichtlich und schon gar nicht diesbezügliche Verfassungsrügen.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