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134/2010 vom 3. Dezember 2010</w:t>
      </w:r>
    </w:p>
    <w:p>
      <w:r>
        <w:t>Bundesgericht, 2010-12-03, DE</w:t>
      </w:r>
    </w:p>
    <w:p>
      <w:r>
        <w:rPr>
          <w:b/>
        </w:rPr>
        <w:t xml:space="preserve">Quelle: </w:t>
      </w:r>
      <w:r>
        <w:t>https://mcp.opencaselaw.ch/entscheid/bger_5D_134_2010</w:t>
      </w:r>
    </w:p>
    <w:p>
      <w:r>
        <w:t>FR: TF 5D 134/2010 du 3 décembre 2010</w:t>
      </w:r>
    </w:p>
    <w:p>
      <w:r>
        <w:t>IT: TF 5D 134/2010 del 3 dicembre 2010</w:t>
      </w:r>
    </w:p>
    <w:p>
      <w:pPr>
        <w:pStyle w:val="Heading2"/>
      </w:pPr>
      <w:r>
        <w:t>Regeste</w:t>
      </w:r>
    </w:p>
    <w:p>
      <w:r>
        <w:t>Provisorische Rechtsöffnung | Schuldbetreibungs- und Konkursrecht</w:t>
      </w:r>
    </w:p>
    <w:p>
      <w:pPr>
        <w:pStyle w:val="Heading2"/>
      </w:pPr>
      <w:r>
        <w:t>Erwägungen</w:t>
      </w:r>
    </w:p>
    <w:p>
      <w:r>
        <w:rPr>
          <w:b/>
        </w:rPr>
        <w:t>E. 1</w:t>
      </w:r>
    </w:p>
    <w:p>
      <w:r>
        <w:t>Ein kantonal letztinstanzlicher Nichteintretensentscheid gegen einen erstinstanzlichen Rechtsöffnungsentscheid kann grundsätzlich mittels Beschwerde in Zivilsachen angefochten werden ( Art. 72 Abs. 2 lit. a, Art. 74, Art. 75 Abs. 1, Art. 90 BGG ; BGE 133 III 399 E. 1.4 S. 400). Indes wird vorliegend mit Fr. 261.80 der dafür erforderliche Streitwert von Fr. 30'000.-- nicht erreicht ( Art. 74 Abs. 1 lit. b BGG ), und es stellt sich im Übrigen auch keine Rechtsfrage von grundsätzlicher Bedeutung ( Art. 74 Abs. 2 lit. a BGG sowie nachfolgend unter E. 3). Als Folge davon steht einzig die subsidiäre Verfassungsbeschwerde offen ( Art. 113 BGG ), mit der lediglich die Verletzung verfassungsmässiger Rechte gerügt werden kann ( Art. 116 BGG ). Die Zustellung des angefochtenen Entscheids erfolgte am 30. September 2010, weshalb die Beschwerde vom 1. November 2010 - unter Berücksichtigung von Art. 45 Abs. 1 BGG - rechtzeitig eingereicht wurde.</w:t>
      </w:r>
    </w:p>
    <w:p>
      <w:r>
        <w:rPr>
          <w:b/>
        </w:rPr>
        <w:t>E. 2</w:t>
      </w:r>
    </w:p>
    <w:p>
      <w:r>
        <w:t>Die Beschwerdeführerin rügt den Umstand, dass der angefochtene Entscheid keine Rechtsmittelbelehrung enthalte, und verlangt dessen Aufhebung. Grundsätzlich hat jeder Entscheid, der einer Beschwerde an das Bundesgericht unterliegt, eine Rechtsmittelbelehrung zu enthalten ( Art. 112 Abs. 1 lit. d BGG ). Diese muss das zulässige Rechtsmittel nennen. Es muss also (positiv) angegeben werden, welches Rechtsmittel ergriffen werden kann, selbst wenn es sich um die subsidiäre Verfassungsbeschwerde handelt ( Art. 117 BGG ; CORBOZ, in: Commentaire de la LTF, 2009, N. 37 zu Art. 112 BGG ; SEILER, in: Bundesgerichtsgesetz [BGG], 2007, N. 14 zu Art. 112 BGG ), wobei bei zwei in Frage kommenden Rechtsmitteln (z.B. Art. 74 Abs. 2 lit. a sowie Art. 113 BGG ) im Zweifel beide anzugeben sind (Urteil 2C_71/2007 vom 9. Oktober 2007 E. 2.2; CORBOZ, a.a.O., N. 38 zu 112 BGG). Insoweit erweist sich die Praxis des Kantonsgerichts Basel-Landschaft, wonach nur auf ordentliche, nicht aber auf ausserordentliche Rechtsmittel hingewiesen werde, und ausserdem auf eine Rechtsmittelbelehrung verzichtet werde, sofern der Beschwerde nicht von Gesetzes wegen aufschiebende Wirkung zukomme (s. Vernehmlassung des Kantonsgerichts Basel-Landschaft), als bundesrechtswidrig. Konnte die Beschwerdeführerin aber - wie hier - den kantonalen Entscheid trotz unterlassener Rechtsmittelbelehrung fristgerecht anfechten, hat sie kein rechtlich geschütztes Interesse am gestellten Aufhebungsantrag (Art. 76 Abs. 1 lit. b i.V.m. Art. 112 Abs. 3 BGG ; Urteil 4A_85/2007 vom 11. Juni 2007 E. 5). Auf diese Rüge ist nicht einzutreten.</w:t>
      </w:r>
    </w:p>
    <w:p>
      <w:r>
        <w:rPr>
          <w:b/>
        </w:rPr>
        <w:t>E. 3</w:t>
      </w:r>
    </w:p>
    <w:p>
      <w:r>
        <w:t>Mit subsidiärer Verfassungsbeschwerde kann einzig die Verletzung verfassungsmässiger Rechte gerügt werden ( Art. 116 BGG ). Hierfür gilt das strenge Rügeprinzip (Art. 106 Abs. 2 i.V.m.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Diesen Anforderungen vermag die vorliegende Beschwerdebegründung nicht zu genügen. Das von der Beschwerdeführerin ins Feld geführte angebliche "Grundrecht auf eine erfolgreiche Integration in die Gesellschaft", welches vorliegend allein dadurch verletzt werde, dass ihr bei einem allfälligen späteren Privatkonkurs der Verlust ihrer Arbeitsstelle drohen könnte, entbehrt sowohl verfassungsrechtlicher als auch staatsvertraglicher Grundlage.</w:t>
      </w:r>
    </w:p>
    <w:p>
      <w:r>
        <w:rPr>
          <w:b/>
        </w:rPr>
        <w:t>E. 4</w:t>
      </w:r>
    </w:p>
    <w:p>
      <w:r>
        <w:t>Kann auf die subsidiäre Verfassungsbeschwerde mangels genügend begründeter Verfassungsrügen nicht eingetreten werden, sind die Gerichtskosten der unterliegenden Beschwerdeführerin aufzuerlegen ( Art. 66 Abs. 1 BGG ). Da die Beschwerdegegnerin anwaltlich nicht vertreten ist, besteht für die eingeholte Vernehmlassung kein Anspruch auf Parteientschädigung (vgl. Art. 68 Abs. 1 und 2 BGG ; BGE 133 III 439 E. 4 S. 446). Wie die vorstehenden Ausführungen aufzeigen, konnte der Beschwerde von Anfang an kein Erfolg beschieden sein, weshalb es an einer materiellen Voraussetzung für die Gewährung der unentgeltlichen Rechtspflege mangelt und das entsprechende Gesuch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