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132/2023 vom 18. Juli 2023</w:t>
      </w:r>
    </w:p>
    <w:p>
      <w:r>
        <w:t>Bundesgericht, 2023-07-18, DE</w:t>
      </w:r>
    </w:p>
    <w:p>
      <w:r>
        <w:rPr>
          <w:b/>
        </w:rPr>
        <w:t xml:space="preserve">Quelle: </w:t>
      </w:r>
      <w:r>
        <w:t>https://mcp.opencaselaw.ch/entscheid/bger_5D_132_2023</w:t>
      </w:r>
    </w:p>
    <w:p>
      <w:r>
        <w:t>FR: TF 5D 132/2023 du 18 juillet 2023</w:t>
      </w:r>
    </w:p>
    <w:p>
      <w:r>
        <w:t>IT: TF 5D 132/2023 del 18 luglio 2023</w:t>
      </w:r>
    </w:p>
    <w:p>
      <w:pPr>
        <w:pStyle w:val="Heading2"/>
      </w:pPr>
      <w:r>
        <w:t>Regeste</w:t>
      </w:r>
    </w:p>
    <w:p>
      <w:r>
        <w:t>Definitive Rechtsöffnung | 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Soweit eine Fristverlängerung gefordert wird, ist festzuhalten, dass es sich bei der Beschwerdefrist nach Art. 100 Abs. 1 BGG um eine gesetzliche Frist handelt und gesetzliche Fristen gemäss Art. 47 Abs. 1 BGG nicht erstreckt werden können.</w:t>
      </w:r>
    </w:p>
    <w:p>
      <w:r>
        <w:rPr>
          <w:b/>
        </w:rPr>
        <w:t>E. 2</w:t>
      </w:r>
    </w:p>
    <w:p>
      <w:r>
        <w:t>Der Streitwert erreicht den für die Beschwerde in Zivilsachen erforderlichen Mindestbetrag von Fr. 30'000.-- nicht ( Art. 74 Abs. 1 lit. b BGG ), weshalb nur die subsidiäre Verfassungsbeschwerde als Rechtsmittel zur Verfügung steht ( Art. 113 BGG ). Mit dieser kann einzig die Verletzung verfassungsmässiger Rechte gerügt werden ( Art. 116 BGG ), wofür das strenge Rügeprinzip gilt (Art. 106 Abs. 2 i.V.m. Art. 117 BGG ; zu den Rügeanforderungen vgl. BGE 140 III 264 E. 2.3; 142 III 364 E. 2.4). Weil ein Nichteintretensentscheid angefochten ist, kann sodann ausschliesslich die Eintretensfrage den Anfechtungsgegenstand bilden ( BGE 135 II 38 E. 1.2; 139 II 233 E. 3.2). Hierauf haben sich somit die Verfassungsrügen zu beziehen.</w:t>
      </w:r>
    </w:p>
    <w:p>
      <w:r>
        <w:rPr>
          <w:b/>
        </w:rPr>
        <w:t>E. 3</w:t>
      </w:r>
    </w:p>
    <w:p>
      <w:r>
        <w:t>Die Beschwerde enthält weder Verfassungsrügen noch beziehen sich die Ausführungen auf die Eintretensfrage im vorinstanzlichen Verfahren. Vielmehr äussert sich die Beschwerdeführerin in allgemeiner Weise zu "Covid-Zeit-Mieten", zur Pandemie, zu staatlichen Mietzinshilfen, zu einem Recht auf Mietzinsreduktion trotz Härtefallgeld u.ä.m. All dies geht am möglichen Anfechtungsgegenstand vorbei.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5</w:t>
      </w:r>
    </w:p>
    <w:p>
      <w:r>
        <w:t>Die Gerichtskosten sind der Beschwerdeführerin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