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132/2016 vom 7. September 2016</w:t>
      </w:r>
    </w:p>
    <w:p>
      <w:r>
        <w:t>Bundesgericht, 2016-09-07, FR</w:t>
      </w:r>
    </w:p>
    <w:p>
      <w:r>
        <w:rPr>
          <w:b/>
        </w:rPr>
        <w:t xml:space="preserve">Quelle: </w:t>
      </w:r>
      <w:r>
        <w:t>https://mcp.opencaselaw.ch/entscheid/bger_5D_132_2016</w:t>
      </w:r>
    </w:p>
    <w:p>
      <w:r>
        <w:t>FR: TF 5D 132/2016 du 7 septembre 2016</w:t>
      </w:r>
    </w:p>
    <w:p>
      <w:r>
        <w:t>IT: TF 5D 132/2016 del 7 settembre 2016</w:t>
      </w:r>
    </w:p>
    <w:p>
      <w:pPr>
        <w:pStyle w:val="Heading2"/>
      </w:pPr>
      <w:r>
        <w:t>Regeste</w:t>
      </w:r>
    </w:p>
    <w:p>
      <w:r>
        <w:t>Révision, retard injustifié etc. | Droit des poursuites et faillites</w:t>
      </w:r>
    </w:p>
    <w:p>
      <w:pPr>
        <w:pStyle w:val="Heading2"/>
      </w:pPr>
      <w:r>
        <w:t>Erwägungen</w:t>
      </w:r>
    </w:p>
    <w:p>
      <w:r>
        <w:rPr>
          <w:b/>
        </w:rPr>
        <w:t>E. 1</w:t>
      </w:r>
    </w:p>
    <w:p>
      <w:r>
        <w:t>Par arrêt du 27 juin 2016, la II e Cour d'appel civil du Tribunal cantonal de l'Etat de Fribourg a déclaré irrecevables autant la demande de récusation en bloc de l'ensemble des membres du Tribunal cantonal formée par A.________ que son recours pour déni de justice interjeté dans le cadre d'une procédure de révision de trois décisions prononçant la mainlevée définitive d'oppositions qu'il avait formées dans le cadre de différentes poursuites introduites par le Ministère public fribourgeois (cf. causes n os xxxx, yyyy et zzzz). La Cour d'appel a considéré que la demande de récusation était abusive et ne visait qu'à obtenir le blocage de l'appareil judiciaire puisque elle était formulée en termes généraux et mêlait plusieurs procédures. Au surplus, la cour cantonale a relevé que le recours pour déni de justice ne satisfaisait nullement aux exigences de motivation de l' art. 321 al. 1 CPC et qu'il présentait un caractère abusif au sens de l' art. 132 al. 3 CPC ce qui conduisait à son irrecevabilité. Quand bien même il aurait été recevable, le recours aurait de toute façon dû être rejeté faute d'être fondé ( art. 322 al. 1 CPC ). On ne discernait en effet pas en quoi l'autorité de première instance avait commis un déni de justice puisque le recours formé le 25 janvier 2016 par A.________ contre la décision du 6 janvier 2016 déclarant notamment irrecevable sa requête de révision du 10 janvier 2015 avait été admis et la cause renvoyée à l'autorité de première instance afin qu'il soit statué sur sa requête d'assistance judiciaire, ce qui avait été fait par décision du 26 avril 2016.</w:t>
      </w:r>
    </w:p>
    <w:p>
      <w:r>
        <w:rPr>
          <w:b/>
        </w:rPr>
        <w:t>E. 2</w:t>
      </w:r>
    </w:p>
    <w:p>
      <w:r>
        <w:t>Par acte du 4 septembre 2016, A.________ interjette un recours constitutionnel subsidiaire au Tribunal fédéral contre cet arrêt assorti d'une requête de mesures superprovisionnelles urgentes.</w:t>
      </w:r>
    </w:p>
    <w:p>
      <w:r>
        <w:rPr>
          <w:b/>
        </w:rPr>
        <w:t>E. 3</w:t>
      </w:r>
    </w:p>
    <w:p>
      <w:r>
        <w:t>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dès lors qu'il a pour principal but de multiplier les procédures et de bloquer ce faisant l'appareil judiciaire. Le recours doit donc également être déclaré irrecevable pour ce motif.</w:t>
      </w:r>
    </w:p>
    <w:p>
      <w:r>
        <w:rPr>
          <w:b/>
        </w:rPr>
        <w:t>E. 4</w:t>
      </w:r>
    </w:p>
    <w:p>
      <w:r>
        <w:t>En définitive, le recours doit être déclaré irrecevable selon la procédure simplifiée de l'art. 108 al. 1 let. a à c LTF par renvoi de l' art. 117 LTF , ce qui rend sans objet les demandes de " mesures super-provisionnelles urgentes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