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5D_129/2023 vom 3. Oktober 2023</w:t>
      </w:r>
    </w:p>
    <w:p>
      <w:r>
        <w:t>Bundesgericht, 2023-10-03, FR</w:t>
      </w:r>
    </w:p>
    <w:p>
      <w:r>
        <w:rPr>
          <w:b/>
        </w:rPr>
        <w:t xml:space="preserve">Quelle: </w:t>
      </w:r>
      <w:r>
        <w:t>https://mcp.opencaselaw.ch/entscheid/bger_5D_129_2023</w:t>
      </w:r>
    </w:p>
    <w:p>
      <w:r>
        <w:t>FR: TF 5D_129/2023 du 3 octobre 2023</w:t>
      </w:r>
    </w:p>
    <w:p>
      <w:r>
        <w:t>IT: TF 5D_129/2023 del 3 ottobre 2023</w:t>
      </w:r>
    </w:p>
    <w:p>
      <w:pPr>
        <w:pStyle w:val="Heading2"/>
      </w:pPr>
      <w:r>
        <w:t>Erwägungen</w:t>
      </w:r>
    </w:p>
    <w:p>
      <w:r>
        <w:rPr>
          <w:b/>
        </w:rPr>
        <w:t>E. 1</w:t>
      </w:r>
    </w:p>
    <w:p>
      <w:r>
        <w:t>Par prononcé du 24 mai 2023, le Président</w:t>
      </w:r>
    </w:p>
    <w:p>
      <w:r>
        <w:t>ad hoc du Tribunal civil de l'arrondissement de la Sarine a levé provisoirement, à concurrence de 3'104 fr. 05 (en capital), l'opposition formée par A.________ au commandement de payer notifié à la réquisition de la B.________ SA (</w:t>
      </w:r>
    </w:p>
    <w:p>
      <w:r>
        <w:t>poursuite n° xxx de l'Office des poursuites de la Sarine ).</w:t>
      </w:r>
    </w:p>
    <w:p>
      <w:r>
        <w:t>Par arrêt du 19 juin 2023, le Vice-Président de la IIe Cour d'appel civil du Tribunal cantonal fribourgeois a déclaré manifestement irrecevable le recours du poursuivi.</w:t>
      </w:r>
    </w:p>
    <w:p>
      <w:r>
        <w:rPr>
          <w:b/>
        </w:rPr>
        <w:t>E. 2</w:t>
      </w:r>
    </w:p>
    <w:p>
      <w:r>
        <w:t>Par écriture expédiée le 7 juillet 2023, le poursuivi forme un recours au Tribunal fédéral contre l'arrêt précité; il sollicite l'assistance judiciaire pour la procédure fédérale (limitée aux frais).</w:t>
      </w:r>
    </w:p>
    <w:p>
      <w:r>
        <w:t>Des observations n'ont pas été requises.</w:t>
      </w:r>
    </w:p>
    <w:p>
      <w:r>
        <w:rPr>
          <w:b/>
        </w:rPr>
        <w:t>E. 3</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d'examiner les autres conditions de recevabilité, ce procédé étant voué à l'échec.</w:t>
      </w:r>
    </w:p>
    <w:p>
      <w:r>
        <w:rPr>
          <w:b/>
        </w:rPr>
        <w:t>E. 4.1</w:t>
      </w:r>
    </w:p>
    <w:p>
      <w:r>
        <w:t>En l'espèce, le magistrat cantonal a considéré que le recours du poursuivi était manifestement irrecevable pour défaut de motivation au regard l' art. 321 al. 1 CPC , car il ne comportait "</w:t>
      </w:r>
    </w:p>
    <w:p>
      <w:r>
        <w:t>aucune critique, ayant un minimum de consistance, des motifs pour lesquels la mainlevée a été prononcée ".</w:t>
      </w:r>
    </w:p>
    <w:p>
      <w:r>
        <w:rPr>
          <w:b/>
        </w:rPr>
        <w:t>E. 4.2</w:t>
      </w:r>
    </w:p>
    <w:p>
      <w:r>
        <w:t>Le recourant ne soulève pas le moindre grief intelligible de nature constitutionnelle ( art. 116 LTF ) à l'encontre du motif retenu par le juge précédent, mais se réfère - de manière pour le moins confuse - à un "</w:t>
      </w:r>
    </w:p>
    <w:p>
      <w:r>
        <w:t>litige " qui l'oppose à l'intimée sur le fond. Il s'ensuit que le recours est entièrement irrecevable (art. 106 al. 2, en relation avec l' art. 117 LTF ; ATF 136 I 332 consid. 2.1 et les citations).</w:t>
      </w:r>
    </w:p>
    <w:p>
      <w:r>
        <w:rPr>
          <w:b/>
        </w:rPr>
        <w:t>E. 5</w:t>
      </w:r>
    </w:p>
    <w:p>
      <w:r>
        <w:t>Vu ce qui précède, le présent recours doit être déclaré irrecevable par voie de procédure simplifiée ( art. 108 al. 1 let. b et art. 117 LTF ). Les conclusions du recourant étaient d'emblée dépourvues de chances de succès, ce qui entraîne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