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5D_129/2021 vom 16. Juli 2021</w:t>
      </w:r>
    </w:p>
    <w:p>
      <w:r>
        <w:t>Bundesgericht, 2021-07-16, FR</w:t>
      </w:r>
    </w:p>
    <w:p>
      <w:r>
        <w:rPr>
          <w:b/>
        </w:rPr>
        <w:t xml:space="preserve">Quelle: </w:t>
      </w:r>
      <w:r>
        <w:t>https://mcp.opencaselaw.ch/entscheid/bger_5D_129_2021</w:t>
      </w:r>
    </w:p>
    <w:p>
      <w:r>
        <w:t>FR: TF 5D_129/2021 du 16 juillet 2021</w:t>
      </w:r>
    </w:p>
    <w:p>
      <w:r>
        <w:t>IT: TF 5D_129/2021 del 16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10 mai 2021, le Président du Tribunal civil de l'arrondissement de la Sarine a levé définitivement, à concurrence de 550 fr., plus intérêts et accessoires, l'opposition formée par A.________ au commandement de payer qui lui a été notifié à la réquisition de l'État de Fribourg (</w:t>
      </w:r>
    </w:p>
    <w:p>
      <w:r>
        <w:t>poursuite n° x'xxx'xxx de l'Office des poursuites de la Sarine ).</w:t>
      </w:r>
    </w:p>
    <w:p>
      <w:r>
        <w:t>Par arrêt du 15 juin 2021, la Vice-Présidente de la IIe Cour d'appel civil du Tribunal cantonal fribourgeois a déclaré manifestement irrecevable le recours du poursuivi (I), rejeté sa requête d'assistance judiciaire (II) et mis les frais (100 fr.) à sa charge (III).</w:t>
      </w:r>
    </w:p>
    <w:p>
      <w:r>
        <w:rPr>
          <w:b/>
        </w:rPr>
        <w:t>E. 2</w:t>
      </w:r>
    </w:p>
    <w:p>
      <w:r>
        <w:t>Par écriture expédiée le 13 juillet 2021, le poursuivi exerce un recours au sens des "</w:t>
      </w:r>
    </w:p>
    <w:p>
      <w:r>
        <w:t>art. 78 ss LTF "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recours est (expressément) dirigé contre une décision qui confirme un prononcé de mainlevée définitive de l'opposition; partant, le recours en matière</w:t>
      </w:r>
    </w:p>
    <w:p>
      <w:r>
        <w:t>civile , et non le recours en matière</w:t>
      </w:r>
    </w:p>
    <w:p>
      <w:r>
        <w:t>pénale , est en principe ouvert en l'espèce ( art. 72 al. 2 let. a LTF , en relation avec l' art. 80 LP ; ATF 134 III 520 consid. 1.1). Vu l'insuffisance de la valeur litigieuse et l'absence de question juridique de principe ( art. 74 al. 1 let . bet al. 2 let. a LTF), l'écriture du recourant doit toutefois être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l'autorité précédente n'est pas entrée en matière pour deux motifs: d'une part, le recours n'est pas motivé conformément à l' art. 321 al. 1 CPC , à défaut de contenir une critique "</w:t>
      </w:r>
    </w:p>
    <w:p>
      <w:r>
        <w:t>consistante et intelligible " des motifs du premier juge; d'autre part, le recourant n'a pas pris de conclusions "</w:t>
      </w:r>
    </w:p>
    <w:p>
      <w:r>
        <w:t>réformatoires, a fortiori chiffrées ". Le recours eût été de toute manière rejeté, dès lors que la décision entreprise ne comporte aucune erreur "</w:t>
      </w:r>
    </w:p>
    <w:p>
      <w:r>
        <w:t>que ce soit dans l'application du droit et/ou dans sa justification en fait ", de telle sorte qu'il suffit d'y renvoyer par adoption de motifs.</w:t>
      </w:r>
    </w:p>
    <w:p>
      <w:r>
        <w:rPr>
          <w:b/>
        </w:rPr>
        <w:t>E. 4.2</w:t>
      </w:r>
    </w:p>
    <w:p>
      <w:r>
        <w:t>L'acte de recours est dépourvu de griefs constitutionnels exposés de façon compréhensible. Certes, le recourant se plaint de "</w:t>
      </w:r>
    </w:p>
    <w:p>
      <w:r>
        <w:t>violations constitutionnelles à répétition ", notamment de "</w:t>
      </w:r>
    </w:p>
    <w:p>
      <w:r>
        <w:t>discriminations ", "</w:t>
      </w:r>
    </w:p>
    <w:p>
      <w:r>
        <w:t>crimes contre l'humanité " et "</w:t>
      </w:r>
    </w:p>
    <w:p>
      <w:r>
        <w:t>actes barbares de racistes "; toutefois, il ne s'en prend pas aux motifs des juges précédents, dont il ne démontre pas le caractère inconstitutionnel, mais se borne à formuler des critiques - par ailleurs outrancières - toutes générales. Faute de motivation conforme aux exigences légales, le recours apparaît ainsi irrecevable ( art. 106 al. 2 et art. 117 LTF ; ATF 136 I 332 consid. 2.1).</w:t>
      </w:r>
    </w:p>
    <w:p>
      <w:r>
        <w:rPr>
          <w:b/>
        </w:rPr>
        <w:t>E. 4.3</w:t>
      </w:r>
    </w:p>
    <w:p>
      <w:r>
        <w:t>Enfin, le Tribunal fédéral n'est pas compétent pour donner suite à la "</w:t>
      </w:r>
    </w:p>
    <w:p>
      <w:r>
        <w:t>plainte pénale ( art. 30-31 CP ) " qui est jointe au recours.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et art. 117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