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129/2017 vom 27. Juli 2017</w:t>
      </w:r>
    </w:p>
    <w:p>
      <w:r>
        <w:t>Bundesgericht, 2017-07-27, FR</w:t>
      </w:r>
    </w:p>
    <w:p>
      <w:r>
        <w:rPr>
          <w:b/>
        </w:rPr>
        <w:t xml:space="preserve">Quelle: </w:t>
      </w:r>
      <w:r>
        <w:t>https://mcp.opencaselaw.ch/entscheid/bger_5D_129_2017</w:t>
      </w:r>
    </w:p>
    <w:p>
      <w:r>
        <w:t>FR: TF 5D 129/2017 du 27 juillet 2017</w:t>
      </w:r>
    </w:p>
    <w:p>
      <w:r>
        <w:t>IT: TF 5D 129/2017 del 27 luglio 2017</w:t>
      </w:r>
    </w:p>
    <w:p>
      <w:pPr>
        <w:pStyle w:val="Heading2"/>
      </w:pPr>
      <w:r>
        <w:t>Regeste</w:t>
      </w:r>
    </w:p>
    <w:p>
      <w:r>
        <w:t>mainlevée définitive de l'opposition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12 juin 2017 (n os 102 2017 xxx &amp; xxx), la IIe Cour d'appel civil du Tribunal cantonal de l'État de Fribourg a rejeté le recours interjeté par A.________ le 22 mai 2017 à l'encontre de la décision du Président du Tribunal civile de la Sarine du 28 avril 2017 prononçant la mainlevée définitive de l'opposition formée par A.________ au commandement de payer n° xxxxxxx de l'Office des poursuites de la Sarine, notifié à l'instance de l'État de Fribourg, représenté par le Tribunal cantonal, pour le montant de 7'833 fr. La cour cantonale a jugé que les critiques du recourant concernaient diverses procédures et n'étaient pas propres à remettre en cause le prononcé de mainlevée, auquel elle renvoyait par substitution de motifs.</w:t>
      </w:r>
    </w:p>
    <w:p>
      <w:r>
        <w:rPr>
          <w:b/>
        </w:rPr>
        <w:t>E. 2</w:t>
      </w:r>
    </w:p>
    <w:p>
      <w:r>
        <w:t>Par acte déposé le 24 juillet 2017, A.________ introduit un recours constitutionnel au Tribunal fédéral, concluant à l'annulation de l'arrêt déféré et au renvoi de la cause à l'autorité précédente aux fins d'annuler le prononcé de mainlevée et de traiter son recours du 4 avril 2017. A titre de mesures provisionnelles urgentes, le recourant sollicite l'octroi de l'effet suspensif à son recours, la nullité des plusieurs décisions, la récusation des juges cantonaux et à ce que le Tribunal fédéral veille " à la protection des intérêts menacés et à ne pas perpétuer un état de fait illicite ( art. 117, 104 LTF et 5 al. 1 Cst.) ". Autant qu'il discute véritablement l'objet de l'arrêt querellé et non des événements étrangers à la procédure de mainlevée (p. ex. arrêt de la Cour de droit pénal 6B_251/2017, la requête en changement de nom de l'une de ses filles) ( art. 42 al. 2 LTF ; ATF 142 I 155 consid. 4.4.2 et la jurisprudence citée), le recourant ne présente aucune motivation compréhensible, ni ne soulève - de manière claire et détaillée - le moindre grief constitutionnel à l'encontre du raisonnement de l'arrêt cantonal déféré. Ainsi, le recourant ne démontre pas distinctement que l'autorité précédente aurait commis dans son raisonnement des violations à la Constitution ou à l'un de ses droits fondamentaux. Il s'ensuit que le présent recours ne satisfait pas aux exigences accrues de motivation posées par les art. 106 al. 2 et 116 LTF , par renvoi de l' art. 117 LTF . De surcroît, il sied de constater une nouvelle fois que le recours présente un caractère abusif au sens de l' art. 42 al. 7 LTF , de sorte qu'il doit également être déclaré irrecevable pour ce motif. Vu ce qui précède, le recours doit être déclaré irrecevable selon la procédure simplifiée de l'art. 108 al. 1 let. a à c LTF, par renvoi de l' art. 117 LTF , ce qui rend sans objet les quatre requêtes de mesures provisionnelles urgentes.</w:t>
      </w:r>
    </w:p>
    <w:p>
      <w:r>
        <w:rPr>
          <w:b/>
        </w:rPr>
        <w:t>E. 3</w:t>
      </w:r>
    </w:p>
    <w:p>
      <w:r>
        <w:t>Les frais judiciaires, arrêtés à 700 fr., sont mis à la charge du recourant qui succombe, en application de l' art. 66 al. 1 LTF . Il n'est pas alloué d' " équitable indemnité " au recourant. Toute nouvelle écriture du même genre dans cette affaire, notamment une demande de révision abusive, sera classée sans réponse.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