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5D_126/2021 vom 16. Juli 2021</w:t>
      </w:r>
    </w:p>
    <w:p>
      <w:r>
        <w:t>Bundesgericht, 2021-07-16, FR</w:t>
      </w:r>
    </w:p>
    <w:p>
      <w:r>
        <w:rPr>
          <w:b/>
        </w:rPr>
        <w:t xml:space="preserve">Quelle: </w:t>
      </w:r>
      <w:r>
        <w:t>https://mcp.opencaselaw.ch/entscheid/bger_5D_126_2021</w:t>
      </w:r>
    </w:p>
    <w:p>
      <w:r>
        <w:t>FR: TF 5D_126/2021 du 16 juillet 2021</w:t>
      </w:r>
    </w:p>
    <w:p>
      <w:r>
        <w:t>IT: TF 5D_126/2021 del 16 luglio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 juin 2021, la Chambre civile de la Cour de justice du canton de Genève a déclaré irrecevable - faute de motivation conforme aux exigences légales - le recours interjeté par A.________ contre le jugement rendu le 5 mars 2021 par le Tribunal de première instance prononçant la mainlevée définitive de l'opposition formée par A.________ au commandement de payer qui lui a été notifié à l'instance de l'État de Genève.</w:t>
      </w:r>
    </w:p>
    <w:p>
      <w:r>
        <w:t>La cour cantonale a relevé que le recourant ne critiquait pas les considérants du prononcé de mainlevée selon lesquels le bordereau d'impôts constitue un titre à la mainlevée définitive, alors que le fait qu'il n'aurait pas eu connaissance de l'acte de défaut de biens délivré à son encontre le 20 décembre 2000 était dénué de pertinence, ce document ne servant qu'à prouver que la dette n'est pas prescrite.</w:t>
      </w:r>
    </w:p>
    <w:p>
      <w:r>
        <w:rPr>
          <w:b/>
        </w:rPr>
        <w:t>E. 2</w:t>
      </w:r>
    </w:p>
    <w:p>
      <w:r>
        <w:t>Par acte du 5 juillet 2021, A.________ exerce un recours au Tribunal fédéral, concluant à l'annulation de l'arrêt entrepris et au renvoi de la cause en première instance pour instruction et administration de preuves.</w:t>
      </w:r>
    </w:p>
    <w:p>
      <w:r>
        <w:rPr>
          <w:b/>
        </w:rPr>
        <w:t>E. 3</w:t>
      </w:r>
    </w:p>
    <w:p>
      <w:r>
        <w:t>Eu égard à la valeur litigieuse inférieure au seuil légal de 30'000 fr. (</w:t>
      </w:r>
    </w:p>
    <w:p>
      <w:r>
        <w:t>i.c . 5'923 fr. 70; art. 74 al. 1 let. b LTF ) et en l'absence de question juridique de principe ( art. 74 al. 2 let. a LTF ; ATF 141 III 159 consid. 1.2 et les arrêts cités), le présent recours doit être traité en tant que recours constitutionnel subsidiaire au sens des art. 113 ss LTF .</w:t>
      </w:r>
    </w:p>
    <w:p>
      <w:r>
        <w:t>Le recourant se plaint de la violation de son droit d'être entendu ( art. 29 al. 2 Cst. ), affirmant que les autorités précédentes n'ont pas pris en considération les moyens de preuve qu'il a offerts afin de prouver l'inexistence d'un acte de défaut de biens à son encontre. Ce faisant, le recourant se limite à réitérer son argumentation présentée devant l'autorité précédente, en sorte qu'il ne soulève pas, de manière claire et précise, un grief constitutionnel tendant à démontrer que le raisonnement de la décision cantonale querellée concernant l'irrecevabilité de son recours serait contraire à l'un de ses droits fondamentaux ou à la Constitution. Il s'ensuit que le recours ne satisfait pas aux exigences accrues de motivation posées par les art. 106 al. 2 et 116 LTF , par renvoi de l' art. 117 LTF .</w:t>
      </w:r>
    </w:p>
    <w:p>
      <w:r>
        <w:rPr>
          <w:b/>
        </w:rPr>
        <w:t>E. 4</w:t>
      </w:r>
    </w:p>
    <w:p>
      <w:r>
        <w:t>En conclusion, le recours doit être d'emblée déclaré irrecevable selon la procédure simplifiée de l' art. 108 al. 1 let. b LTF (par renvoi de l' art. 117 LTF ), aux frais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