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5D_124/2022 vom 28. September 2022</w:t>
      </w:r>
    </w:p>
    <w:p>
      <w:r>
        <w:t>Bundesgericht, 2022-09-28, DE</w:t>
      </w:r>
    </w:p>
    <w:p>
      <w:r>
        <w:rPr>
          <w:b/>
        </w:rPr>
        <w:t xml:space="preserve">Quelle: </w:t>
      </w:r>
      <w:r>
        <w:t>https://mcp.opencaselaw.ch/entscheid/bger_5D_124_2022</w:t>
      </w:r>
    </w:p>
    <w:p>
      <w:r>
        <w:t>FR: TF 5D_124/2022 du 28 septembre 2022</w:t>
      </w:r>
    </w:p>
    <w:p>
      <w:r>
        <w:t>IT: TF 5D_124/2022 del 28 settembre 2022</w:t>
      </w:r>
    </w:p>
    <w:p>
      <w:pPr>
        <w:pStyle w:val="Heading2"/>
      </w:pPr>
      <w:r>
        <w:t>Erwägungen</w:t>
      </w:r>
    </w:p>
    <w:p>
      <w:r>
        <w:rPr>
          <w:b/>
        </w:rPr>
        <w:t>E. 1</w:t>
      </w:r>
    </w:p>
    <w:p>
      <w:r>
        <w:t>Mit Entscheid vom 3. Juni 2022 erteilte das Bezirksgericht Frauenfeld der Beschwerdegegnerin gegenüber dem Beschwerdeführer in der Betreibung Nr. yyy des Betreibungsamtes Frauenfeld die provisorische Rechtsöffnung für Fr. 10'104.05.</w:t>
      </w:r>
    </w:p>
    <w:p>
      <w:r>
        <w:t>Dagegen erhob der Beschwerdeführer am 17. Juni 2022 (Poststempel) Beschwerde. Mit Entscheid vom 10. August 2022 wies das Obergericht des Kantons Thurgau die Beschwerde ab, soweit es darauf eintrat.</w:t>
      </w:r>
    </w:p>
    <w:p>
      <w:r>
        <w:t>Dagegen hat der Beschwerdeführer am 2. September 2022 (Poststempel) Beschwerde an das Bundesgericht erhoben.</w:t>
      </w:r>
    </w:p>
    <w:p>
      <w:r>
        <w:rPr>
          <w:b/>
        </w:rPr>
        <w:t>E. 2</w:t>
      </w:r>
    </w:p>
    <w:p>
      <w:r>
        <w:t>Auf der Beschwerde findet sich einzig eine Kopie der eigenhändigen Unterschrift. Eine Rückweisung zur Verbesserung ( Art. 42 Abs. 5 BGG ) kann angesichts des Ausgangs des Verfahrens unterbleiben.</w:t>
      </w:r>
    </w:p>
    <w:p>
      <w:r>
        <w:rPr>
          <w:b/>
        </w:rPr>
        <w:t>E. 3</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t>Der Beschwerdeführer geht nicht auf die eingehenden Erwägungen des Obergerichts zum Rechtsöffnungstitel und zu seinen Einwendungen (Vertragsübertragung, Willensmängel) ein und er nennt keine verfassungsmässigen Rechte, die das Obergericht verletzt hätte. Stattdessen schildert er bloss seine Sicht auf die Dinge (er habe nie einen Bierliefervertrag mit der Beschwerdegegnerin gehabt und sei nicht der Wirt des Restaurants C.________ gewesen; er sei von der Beschwerdegegnerin erpresst worden, womit der Betrug losgegangen sei; die Schuldanerkennung sei eine Lüge, wodurch ihm die Schuld von D.________ untergeschoben worden sei; etc.).</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