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5D_123/2022 vom 28. September 2022</w:t>
      </w:r>
    </w:p>
    <w:p>
      <w:r>
        <w:t>Bundesgericht, 2022-09-28, DE</w:t>
      </w:r>
    </w:p>
    <w:p>
      <w:r>
        <w:rPr>
          <w:b/>
        </w:rPr>
        <w:t xml:space="preserve">Quelle: </w:t>
      </w:r>
      <w:r>
        <w:t>https://mcp.opencaselaw.ch/entscheid/bger_5D_123_2022</w:t>
      </w:r>
    </w:p>
    <w:p>
      <w:r>
        <w:t>FR: TF 5D_123/2022 du 28 septembre 2022</w:t>
      </w:r>
    </w:p>
    <w:p>
      <w:r>
        <w:t>IT: TF 5D_123/2022 del 28 settembre 2022</w:t>
      </w:r>
    </w:p>
    <w:p>
      <w:pPr>
        <w:pStyle w:val="Heading2"/>
      </w:pPr>
      <w:r>
        <w:t>Erwägungen</w:t>
      </w:r>
    </w:p>
    <w:p>
      <w:r>
        <w:rPr>
          <w:b/>
        </w:rPr>
        <w:t>E. 1</w:t>
      </w:r>
    </w:p>
    <w:p>
      <w:r>
        <w:t>Mit Urteil vom 24. März 2022 erteilte das Bezirksgericht Hinwil den Beschwerdegegnern gegenüber dem Beschwerdeführer in der Betreibung Nr. yyy des Betreibungsamtes Wetzikon die definitive Rechtsöffnung für Fr. 1'430.25 nebst Zins.</w:t>
      </w:r>
    </w:p>
    <w:p>
      <w:r>
        <w:t>Dagegen erhob der Beschwerdeführer am 28. Juni 2022 Beschwerde. Mit Beschluss vom 14. Juli 2022 trat das Obergericht des Kantons Zürich auf die Beschwerde infolge Verspätung nicht ein.</w:t>
      </w:r>
    </w:p>
    <w:p>
      <w:r>
        <w:t>Dagegen hat der Beschwerdeführer am 2. September 2022 (Postaufgabe) "staatsrechtliche Beschwerde" an das Bundesgericht erhoben.</w:t>
      </w:r>
    </w:p>
    <w:p>
      <w:r>
        <w:rPr>
          <w:b/>
        </w:rPr>
        <w:t>E. 2</w:t>
      </w:r>
    </w:p>
    <w:p>
      <w:r>
        <w:t>Die staatsrechtliche Beschwerde gibt es seit dem Inkrafttreten des BGG im Jahre 2007 nicht mehr. Aufgrund des unter Fr. 30'000.-- liegenden Streitwerts ( Art. 74 Abs. 1 lit. b BGG ) und mangels Vorliegens einer Rechtsfrage von grundsätzlicher Bedeutung ( Art. 74 Abs. 2 lit. a BGG ) ist die Beschwerde als subsidiäre Verfassungsbeschwerde zu behandeln ( Art. 113 ff. BGG ). Gerügt werden kann einzig die Verletzung verfassungsmässiger Rechte ( Art. 116 BGG ).</w:t>
      </w:r>
    </w:p>
    <w:p>
      <w:r>
        <w:t>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nennt in seiner kaum verständlichen Beschwerde zwar vereinzelt verfassungsmässige Rechte. Er legt jedoch nicht dar, inwiefern die obergerichtliche Beurteilung gegen verfassungsmässige Rechte verstossen soll, wonach seine kantonale Beschwerde verspätet erfolgt sei. Zudem erwähnt der Beschwerdeführer die unentgeltliche Rechtspflege. Er geht jedoch nicht darauf ein, dass er gemäss den obergerichtlichen Erwägungen im Beschwerdeverfahren kein entsprechendes Gesuch gestellt hat und ein solches jedenfalls infolge Aussichtslosigkeit der Beschwerde abzuweisen gewesen wäre.</w:t>
      </w:r>
    </w:p>
    <w:p>
      <w:r>
        <w:t>Die Beschwerde enthält offensichtlich keine hinreichende Begründung. Auf sie ist im vereinfachten Verfahren durch das präsidierende Mitglied der Abteilung nicht einzutreten (Art. 117 i.V.m. Art. 108 Abs. 1 lit. b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