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123/2020 vom 29. Juni 2020</w:t>
      </w:r>
    </w:p>
    <w:p>
      <w:r>
        <w:t>Bundesgericht, 2020-06-29, IT</w:t>
      </w:r>
    </w:p>
    <w:p>
      <w:r>
        <w:rPr>
          <w:b/>
        </w:rPr>
        <w:t xml:space="preserve">Quelle: </w:t>
      </w:r>
      <w:r>
        <w:t>https://mcp.opencaselaw.ch/entscheid/bger_5D_123_2020</w:t>
      </w:r>
    </w:p>
    <w:p>
      <w:r>
        <w:t>FR: TF 5D 123/2020 du 29 juin 2020</w:t>
      </w:r>
    </w:p>
    <w:p>
      <w:r>
        <w:t>IT: TF 5D 123/2020 del 29 giugno 2020</w:t>
      </w:r>
    </w:p>
    <w:p>
      <w:pPr>
        <w:pStyle w:val="Heading2"/>
      </w:pPr>
      <w:r>
        <w:t>Regeste</w:t>
      </w:r>
    </w:p>
    <w:p>
      <w:r>
        <w:t>rigetto definitivo dell'opposizione | Diritto delle esecuzioni e del fallimento</w:t>
      </w:r>
    </w:p>
    <w:p>
      <w:pPr>
        <w:pStyle w:val="Heading2"/>
      </w:pPr>
      <w:r>
        <w:t>Erwägungen</w:t>
      </w:r>
    </w:p>
    <w:p>
      <w:r>
        <w:rPr>
          <w:b/>
        </w:rPr>
        <w:t>E. 1</w:t>
      </w:r>
    </w:p>
    <w:p>
      <w:r>
        <w:t>Il Comune di X.________ ha escusso A.________ per l'incasso di fr. 3'294.-- oltre interessi e spese. L'escusso ha interposto opposizione al precetto esecutivo. In accoglimento dell'istanza del creditore procedente, il Giudice di pace del Circolo di Capriasca, con decisione 9 gennaio 2020, ha rigettato in via definitiva l'opposizione. A.________ è insorto con un reclamo, chiedendo di dichiarare " illegittima " la pretesa per onorario del curatore di suo figlio di cui il Comune di X.________ chiede il rimborso. Con sentenza 6 maggio 2020 la Camera di esecuzione e fallimenti del Tribunale d'appello del Cantone Ticino ha dichiarato irricevibile tale reclamo per insufficiente motivazione. La Corte cantonale ha aggiunto che il giudizio di primo grado risultava in ogni modo corretto, dato che le decisioni amministrative di approvazione dei rapporti morali e di determinazione delle indennità al curatore per gli anni dal 2013 al 2016 erano cresciute in giudicato ( art. 80 cpv. 1 n. 2 LEF ) e che A.________ non aveva sollevato alcuna eccezione liberatoria ai sensi dell' art. 81 LEF .</w:t>
      </w:r>
    </w:p>
    <w:p>
      <w:r>
        <w:rPr>
          <w:b/>
        </w:rPr>
        <w:t>E. 2</w:t>
      </w:r>
    </w:p>
    <w:p>
      <w:r>
        <w:t>Con ricorso 18 giugno 2020 A.________ ha impugnato la sentenza cantonale dinanzi al Tribunale federale, chiedendo di annullare sia quest'ultima sia la decisione del Giudice di pace. 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 Quando, come in concreto,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3.2</w:t>
      </w:r>
    </w:p>
    <w:p>
      <w:r>
        <w:t>Nel ricorso all'esame, il ricorrente non si confronta con nessuna delle due motivazioni indipendenti (di irricevibilità, rispettivamente di infondatezza del reclamo) poste a fondamento dell'impugnata sentenza. Egli si limita a rievocare vicissitudini e a formulare rimproveri nei confronti delle parti e delle autorità coinvolte nella procedura di protezione del figlio, nonché a discutere questioni che esulano dall'oggetto qui litigioso, e non si prevale di alcuna lesione di diritti costituzionali. Le esigenze di motivazione dei combinati art. 117 e 106 cpv. 2 LTF sono pertanto del tutto disattese.</w:t>
      </w:r>
    </w:p>
    <w:p>
      <w:r>
        <w:rPr>
          <w:b/>
        </w:rPr>
        <w:t>E. 4</w:t>
      </w:r>
    </w:p>
    <w:p>
      <w:r>
        <w:t>Da quanto precede discende che il ricorso, manifestamente non motivato in modo sufficiente, può essere deciso nella procedura semplificata dei combinati art. 117 e 108 cpv. 1 lett. b LTF . Le spese giudiziarie seguono la soccombenza ( art. 66 cpv. 1 LTF ). Per questi motivi, la Giudice presidente pronuncia: 1. Il ricorso è inammissibile. 2. Le spese giudiziarie di fr. 200.-- sono poste a carico del ricorrente. 3. Comunicazione alle parti e alla Camera di esecuzione e fallimenti del Tribunale d'appello del Cantone Ticino. Losanna, 29 giugno 2020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