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5D_123/2017 vom 18. Juli 2017</w:t>
      </w:r>
    </w:p>
    <w:p>
      <w:r>
        <w:t>Bundesgericht, 2017-07-18, DE</w:t>
      </w:r>
    </w:p>
    <w:p>
      <w:r>
        <w:rPr>
          <w:b/>
        </w:rPr>
        <w:t xml:space="preserve">Quelle: </w:t>
      </w:r>
      <w:r>
        <w:t>https://mcp.opencaselaw.ch/entscheid/bger_5D_123_2017</w:t>
      </w:r>
    </w:p>
    <w:p>
      <w:r>
        <w:t>FR: TF 5D_123/2017 du 18 juillet 2017</w:t>
      </w:r>
    </w:p>
    <w:p>
      <w:r>
        <w:t>IT: TF 5D_123/2017 del 18 luglio 2017</w:t>
      </w:r>
    </w:p>
    <w:p>
      <w:pPr>
        <w:pStyle w:val="Heading2"/>
      </w:pPr>
      <w:r>
        <w:t>Erwägungen</w:t>
      </w:r>
    </w:p>
    <w:p>
      <w:r>
        <w:rPr>
          <w:b/>
        </w:rPr>
        <w:t>E. 1</w:t>
      </w:r>
    </w:p>
    <w:p>
      <w:r>
        <w:t>Mit Entscheid vom 24. März 2017 erteilte das Bezirksgericht Willisau der Beschwerdegegnerin in der Betreibung Nr. xxx des Betreibungsamts Kreis Michelsamt gegen den Beschwerdeführer definitive Rechtsöffnung für Fr. 19'400.-- nebst Zins.</w:t>
      </w:r>
    </w:p>
    <w:p>
      <w:r>
        <w:t>Dagegen erhob der Beschwerdeführer am 10. April 2017 Beschwerde an das Kantonsgericht Luzern. Nachdem der Beschwerdeführer den verlangten Gerichtskostenvorschuss von Fr. 500.-- binnen Nachfrist nicht geleistet hatte, trat das Kantonsgericht mit Entscheid vom 13. Juni 2017 auf die Beschwerde nicht ein.</w:t>
      </w:r>
    </w:p>
    <w:p>
      <w:r>
        <w:t>Mit Eingabe vom 15. Juli 2017 ist der Beschwerdeführer an das Bundesgericht gelangt.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Der Beschwerdeführer wendet sich sinngemäss gegen den vom Kantonsgericht verlangten Gerichtskostenvorschuss von Fr. 500.--, da sich aus Erfahrung ohnehin nur eine Abweisung ergebe. Auch das Bezirksgericht sei nur an den Gebühren interessiert und bestimmte Personen wirkten zusammen, damit das Betreibungsamt zu Abzockergebühren komme. Mit diesen Einwänden legt der Beschwerdeführer nicht dar, inwiefern das Kantonsgericht gegen verfassungsmässige Rechte verstossen haben soll, zumal die Vorbringen teilweise über den Verfahrensgegenstand hinausgehen.</w:t>
      </w:r>
    </w:p>
    <w:p>
      <w:r>
        <w:t>Die Verfassungsbeschwerde enthält damit offensichtlich keine hinreichende Begründung. Auf sie ist im vereinfachten Verfahren gemäss Art. 117 i.V.m.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