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5D_123/2016 vom 11. August 2016</w:t>
      </w:r>
    </w:p>
    <w:p>
      <w:r>
        <w:t>Bundesgericht, 2016-08-11, FR</w:t>
      </w:r>
    </w:p>
    <w:p>
      <w:r>
        <w:rPr>
          <w:b/>
        </w:rPr>
        <w:t xml:space="preserve">Quelle: </w:t>
      </w:r>
      <w:r>
        <w:t>https://mcp.opencaselaw.ch/entscheid/bger_5D_123_2016</w:t>
      </w:r>
    </w:p>
    <w:p>
      <w:r>
        <w:t>FR: TF 5D_123/2016 du 11 août 2016</w:t>
      </w:r>
    </w:p>
    <w:p>
      <w:r>
        <w:t>IT: TF 5D_123/2016 del 11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18 mai 2016, communiqué aux parties le 6 juillet 2016, la Cour des poursuites et faillites du Tribunal cantonal du canton de Vaud a déclaré irrecevable le recours formé le 6 mai 2016 par A.________ à l'encontre du prononcé rendu le 4 avril 2016 par lequel le Juge de paix du district de Lausanne a écarté l'exception de non-retour à meilleure fortune soulevée par A.________, en opposition à la poursuite exercée contre lui à l'instance de B.________ AG.</w:t>
      </w:r>
    </w:p>
    <w:p>
      <w:r>
        <w:t>En substance, la Cour des poursuites et faillites a constaté que la décision de retour à meilleure fortune rendue par le juge de la poursuite n'était sujette à aucun recours cantonal ( art. 265a al. 1 LP ), sous réserve d'un recours au sens des art. 319 ss CPC contre la répartition des frais et dépens, ce qui n'était pas le cas en l'espèce.</w:t>
      </w:r>
    </w:p>
    <w:p>
      <w:r>
        <w:rPr>
          <w:b/>
        </w:rPr>
        <w:t>E. 2</w:t>
      </w:r>
    </w:p>
    <w:p>
      <w:r>
        <w:t>Par acte remis à la Poste suisse le 5 août 2016 à l'adresse du Tribunal fédéral, A.________ exerce un recours contre l'arrêt du 18 mai 2016 de la Cour des poursuites et faillites du Tribunal cantonal vaudois.</w:t>
      </w:r>
    </w:p>
    <w:p>
      <w:r>
        <w:t>L'écriture est traitée comme un recours constitutionnel subsidiaire, faute d'atteindre la valeur litigieuse minimale ouvrant la voie au recours en matière civile ( art. 74 al. 1 let. b LTF ).</w:t>
      </w:r>
    </w:p>
    <w:p>
      <w:r>
        <w:rPr>
          <w:b/>
        </w:rPr>
        <w:t>E. 3</w:t>
      </w:r>
    </w:p>
    <w:p>
      <w:r>
        <w:t>Le recourant, pour autant que son mémoire soit compréhensible, ne soulève aucun grief à l'encontre du raisonnement de la décision cantonale querellée, partant, il ne démontre pas que la motivation de la cour cantonale serait contraire à l'un de ses droits fondamentaux et à la Constitution, de sorte que son recours ne satisfait nullement aux exigences légales en la matière ( art. 116, 117 et 106 al. 2 LTF ; ATF 133 IV 286 consid. 1.4).</w:t>
      </w:r>
    </w:p>
    <w:p>
      <w:r>
        <w:t>Il s'ensuit que, dans ces circonstances, le recours, manifestement irrecevable faute de motivation conforme aux exigences, doit être traité selon la procédure simplifiée prévue aux art. 117 et 108 al. 1 let. b LTF .</w:t>
      </w:r>
    </w:p>
    <w:p>
      <w:r>
        <w:rPr>
          <w:b/>
        </w:rPr>
        <w:t>E. 4</w:t>
      </w:r>
    </w:p>
    <w:p>
      <w:r>
        <w:t>Les frais judiciaires, arrêtés à 300 fr., sont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