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5D_121/2023 vom 7. Juli 2023</w:t>
      </w:r>
    </w:p>
    <w:p>
      <w:r>
        <w:t>Bundesgericht, 2023-07-07, DE</w:t>
      </w:r>
    </w:p>
    <w:p>
      <w:r>
        <w:rPr>
          <w:b/>
        </w:rPr>
        <w:t xml:space="preserve">Quelle: </w:t>
      </w:r>
      <w:r>
        <w:t>https://mcp.opencaselaw.ch/entscheid/bger_5D_121_2023</w:t>
      </w:r>
    </w:p>
    <w:p>
      <w:r>
        <w:t>FR: TF 5D_121/2023 du 7 juillet 2023</w:t>
      </w:r>
    </w:p>
    <w:p>
      <w:r>
        <w:t>IT: TF 5D_121/2023 del 7 luglio 2023</w:t>
      </w:r>
    </w:p>
    <w:p>
      <w:pPr>
        <w:pStyle w:val="Heading2"/>
      </w:pPr>
      <w:r>
        <w:t>Erwägungen</w:t>
      </w:r>
    </w:p>
    <w:p>
      <w:r>
        <w:rPr>
          <w:b/>
        </w:rPr>
        <w:t>E. 1</w:t>
      </w:r>
    </w:p>
    <w:p>
      <w:r>
        <w:t>Der Streitwert erreicht den für die Beschwerde in Zivilsachen erforderlichen Mindestwert von Fr. 30'000.-- ( Art. 74 Abs. 1 lit. b BGG ) nicht, weshalb nur die subsidiäre Verfassungsbeschwerde zur Verfügung steht ( Art. 113 BGG ). Mit ihr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140 III 264 E. 2.3; 142 III 364 E. 2.4).</w:t>
      </w:r>
    </w:p>
    <w:p>
      <w:r>
        <w:rPr>
          <w:b/>
        </w:rPr>
        <w:t>E. 2</w:t>
      </w:r>
    </w:p>
    <w:p>
      <w:r>
        <w:t>Der Beschwerdeführer macht keine Verfassungsverletzungen geltend und äussert sich auch sonst nicht in topischer Weise zu den Erwägungen des angefochtenen Entscheides, wenn er geltend macht, die Mutter habe in ihrem illegalen Bordell mit D.________ Intimverkehr gehabt und die Identität des Kindes zu diesem sei eindeutig, die Gerichte seien bloss hinter Gebühren her statt die Beweise zu würdigen und es sei erstaunlich, dass das Bundesgericht bei jeder Beschwerde weder das ZGB noch die Menschenrechte anwende.</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