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119/2021 vom 24. Juni 2021</w:t>
      </w:r>
    </w:p>
    <w:p>
      <w:r>
        <w:t>Bundesgericht, 2021-06-24, DE</w:t>
      </w:r>
    </w:p>
    <w:p>
      <w:r>
        <w:rPr>
          <w:b/>
        </w:rPr>
        <w:t xml:space="preserve">Quelle: </w:t>
      </w:r>
      <w:r>
        <w:t>https://mcp.opencaselaw.ch/entscheid/bger_5D_119_2021</w:t>
      </w:r>
    </w:p>
    <w:p>
      <w:r>
        <w:t>FR: TF 5D 119/2021 du 24 juin 2021</w:t>
      </w:r>
    </w:p>
    <w:p>
      <w:r>
        <w:t>IT: TF 5D 119/2021 del 24 giugno 2021</w:t>
      </w:r>
    </w:p>
    <w:p>
      <w:pPr>
        <w:pStyle w:val="Heading2"/>
      </w:pPr>
      <w:r>
        <w:t>Regeste</w:t>
      </w:r>
    </w:p>
    <w:p>
      <w:r>
        <w:t>Revision / missbräuchliche Eingabe | Sachenrecht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im Zusammenhang mit einem Revisionsgesuch bezüglich einer Zivilsache ( Art. 72 Abs. 1 und Art. 90 BGG ). Der Streitwert beträgt weniger als Fr. 30'000.-- (vgl. Art. 74 Abs. 1 lit. b BGG ). Damit ist der für eine Beschwerde in Zivilsachen erforderliche Mindeststreitwert nicht erreicht und es steht einzig die subsidiäre Verfassungsbeschwerde offen ( Art. 113 BGG ).</w:t>
      </w:r>
    </w:p>
    <w:p>
      <w:r>
        <w:rPr>
          <w:b/>
        </w:rPr>
        <w:t>E. 2</w:t>
      </w:r>
    </w:p>
    <w:p>
      <w:r>
        <w:t>Mit dieser kann nur die Verletzung verfassungsmässiger Rechte gerügt werden ( Art. 116 BGG ), für welche das strenge Rügeprinzip gilt (Art. 106 Abs. 2 i.V.m. Art. 117 BGG ; zu den betreffenden Rügeanforderungen vgl. BGE 140 III 264 E. 2.3 S. 266; 141 IV 249 E. 1.3.1 S. 253).</w:t>
      </w:r>
    </w:p>
    <w:p>
      <w:r>
        <w:rPr>
          <w:b/>
        </w:rPr>
        <w:t>E. 3</w:t>
      </w:r>
    </w:p>
    <w:p>
      <w:r>
        <w:t>Der Beschwerdeführer erwähnt zwar allgemein Art. 35 Abs. 2 BV , wonach an die Grundrechte gebunden ist, wer staatliche Aufgaben wahrnimmt. Es fehlt indes an jeglichem Fingerzeig, welches verfassungsmässige Recht und inwiefern dieses durch den angefochtenen Entscheid verletzt sein soll.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dem Beschwerdeführer aufzuerlegen ( Art. 66 Abs. 1 BGG ). Angesichts der nunmehr zu Tage tretenden Querulanz besteht kein Anlass mehr, wie in den früheren Verfahren ausnahmsweise auf die Kostenerhebung zu verzichten.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