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118/2022 vom 22. August 2022</w:t>
      </w:r>
    </w:p>
    <w:p>
      <w:r>
        <w:t>Bundesgericht, 2022-08-22, FR</w:t>
      </w:r>
    </w:p>
    <w:p>
      <w:r>
        <w:rPr>
          <w:b/>
        </w:rPr>
        <w:t xml:space="preserve">Quelle: </w:t>
      </w:r>
      <w:r>
        <w:t>https://mcp.opencaselaw.ch/entscheid/bger_5D_118_2022</w:t>
      </w:r>
    </w:p>
    <w:p>
      <w:r>
        <w:t>FR: TF 5D 118/2022 du 22 août 2022</w:t>
      </w:r>
    </w:p>
    <w:p>
      <w:r>
        <w:t>IT: TF 5D 118/2022 del 22 agosto 2022</w:t>
      </w:r>
    </w:p>
    <w:p>
      <w:pPr>
        <w:pStyle w:val="Heading2"/>
      </w:pPr>
      <w:r>
        <w:t>Regeste</w:t>
      </w:r>
    </w:p>
    <w:p>
      <w:r>
        <w:t>mainlevée définitive de l'opposition | Droit des poursuites et faillites</w:t>
      </w:r>
    </w:p>
    <w:p>
      <w:pPr>
        <w:pStyle w:val="Heading2"/>
      </w:pPr>
      <w:r>
        <w:t>Erwägungen</w:t>
      </w:r>
    </w:p>
    <w:p>
      <w:r>
        <w:rPr>
          <w:b/>
        </w:rPr>
        <w:t>E. 1</w:t>
      </w:r>
    </w:p>
    <w:p>
      <w:r>
        <w:t>Par acte du 15 août 2022, A.________ exerce un recours au Tribunal fédéral à l'encontre de l'arrêt rendu le 9 juin 2022 par la Chambre civile de la Cour de justice du canton de Genève prononçant l'irrecevabilité pour cause de tardiveté et défaut de motivation du recours formé par le précité au prononcé de mainlevée définitive de l'opposition du 25 avril 2022.</w:t>
      </w:r>
    </w:p>
    <w:p>
      <w:r>
        <w:rPr>
          <w:b/>
        </w:rPr>
        <w:t>E. 2</w:t>
      </w:r>
    </w:p>
    <w:p>
      <w:r>
        <w:t>Eu égard à la valeur litigieuse inférieure au seuil légal de 30'000 fr. ( art. 74 al. 1 let. b LTF ) et en l'absence de question juridique de principe ( art. 74 al. 2 let. a LTF ; ATF 141 III 159 consid. 1.2 et les arrêts cités), le présent recours doit être traité en tant que recours constitutionnel subsidiaire au sens des art. 113 ss LTF , lequel n'est ouvert que pour se plaindre de la violation des droits constitutionnels ( art. 116 LTF ). En vertu de l' art. 106 al. 2 LTF , applicable par renvoi de l' art. 117 LTF , les griefs y relatifs doivent être invoqués et motivés par le recourant, à savoir expressément soulevés et exposés de manière claire et détaillée ("principe d'allégation"; ATF 146 I 62 consid. 3; 144 II 313 consid. 5.1; 142 II 369 consid. 2.1; 142 III 364 consid. 2.4).</w:t>
      </w:r>
    </w:p>
    <w:p>
      <w:r>
        <w:rPr>
          <w:b/>
        </w:rPr>
        <w:t>E. 3</w:t>
      </w:r>
    </w:p>
    <w:p>
      <w:r>
        <w:t>En l'occurrence, le recourant expose les faits qui ont conduit à sa condamnation à une amende d'ordre. Il s'ensuit que le présent recours est dépourvu de toute réfutation et de tout grief - a fortiori de nature constitutionnelle - dirigé contre l'arrêt déféré prononçant l'irrecevabilité du recours au prononcé de mainlevée définitive (art. 42 al. 2 et 106 al. 2 LTF; ATF 140 III 86 consid. 2 et les citations).</w:t>
      </w:r>
    </w:p>
    <w:p>
      <w:r>
        <w:rPr>
          <w:b/>
        </w:rPr>
        <w:t>E. 4</w:t>
      </w:r>
    </w:p>
    <w:p>
      <w:r>
        <w:t>En conclusion, le présent recours doit être d'emblée déclaré irrecevable par voie de procédure simplifiée ( art. 108 al. 1 let. b LTF par renvoi de l' art. 117 LTF ), avec suite de frais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