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5D_118/2020 vom 17. Juni 2020</w:t>
      </w:r>
    </w:p>
    <w:p>
      <w:r>
        <w:t>Bundesgericht, 2020-06-17, DE</w:t>
      </w:r>
    </w:p>
    <w:p>
      <w:r>
        <w:rPr>
          <w:b/>
        </w:rPr>
        <w:t xml:space="preserve">Quelle: </w:t>
      </w:r>
      <w:r>
        <w:t>https://mcp.opencaselaw.ch/entscheid/bger_5D_118_2020</w:t>
      </w:r>
    </w:p>
    <w:p>
      <w:r>
        <w:t>FR: TF 5D_118/2020 du 17 juin 2020</w:t>
      </w:r>
    </w:p>
    <w:p>
      <w:r>
        <w:t>IT: TF 5D_118/2020 del 17 giugno 2020</w:t>
      </w:r>
    </w:p>
    <w:p>
      <w:pPr>
        <w:pStyle w:val="Heading2"/>
      </w:pPr>
      <w:r>
        <w:t>Erwägungen</w:t>
      </w:r>
    </w:p>
    <w:p>
      <w:r>
        <w:rPr>
          <w:b/>
        </w:rPr>
        <w:t>E. 1</w:t>
      </w:r>
    </w:p>
    <w:p>
      <w:r>
        <w:t>Der kantonal letztinstanzliche Rechtsöffnungsentscheid kann beim Bundesgericht angefochten werden ( Art. 72 Abs. 2 lit. a und Art. 75 Abs. 1 BGG ). Indes ist der für die Beschwerde in Zivilsachen erforderliche Mindeststreitwert von Fr. 30'000.-- nicht erreicht ( Art. 74 Abs. 2 lit. b BGG ). Mithin steht einzig die subsidiäre Verfassungsbeschwerde offen ( Art. 113 BGG ), mit welcher ausschliesslich die Verletzung verfassungsmässiger Rechte gerügt werden kann ( Art. 116 BGG ), wofür das strenge Rügeprinzip gilt (Art. 106 Abs. 2 i.V.m. Art. 117 BGG ).</w:t>
      </w:r>
    </w:p>
    <w:p>
      <w:r>
        <w:rPr>
          <w:b/>
        </w:rPr>
        <w:t>E. 2</w:t>
      </w:r>
    </w:p>
    <w:p>
      <w:r>
        <w:t>Es werden nicht ansatzweise Verfassungsrügen substanziiert. Die Beschwerdeführerin beschränkt sich auf die Aussage, die Gegenparteien hätten rechtmissbräuchlich die Rechtsöffnung verlangt und sie habe vor dem Bezirksgericht kein rechtliches Gehör erhalten, obwohl ihre Stellungnahmen rechtzeitig gewesen seien. Anfechtungsobjekt kann indes nur der Entscheid der letzten kantonalen Instanz sein ( Art. 75 Abs. 1 BGG ); diesbezüglich wären Verfassungsverletzungen aufzuzeigen, wobei sie sich im Übrigen auf die Nichteintretenserwägungen beziehen müssten ( BGE 135 II 38 E. 1.2 S. 41)</w:t>
      </w:r>
    </w:p>
    <w:p>
      <w:r>
        <w:t>Nur der Vollständigkeit halber sei festgehalten, dass sich das Bezirksgericht in einer Alternativbegründung mit den Stellungnahmen der Beschwerdeführerin auseinandergesetzt und erwogen hat, dass keinerlei Nichtigkeitsgründe vorgebracht würden und die rechtskräftige Steuerveranlagung im Verfahren der definitiven Rechtsöffnung nicht mehr auf ihre inhaltliche Richtigkeit überprüft werden könne.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