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5D_116/2023 vom 3. Juli 2023</w:t>
      </w:r>
    </w:p>
    <w:p>
      <w:r>
        <w:t>Bundesgericht, 2023-07-03, DE</w:t>
      </w:r>
    </w:p>
    <w:p>
      <w:r>
        <w:rPr>
          <w:b/>
        </w:rPr>
        <w:t xml:space="preserve">Quelle: </w:t>
      </w:r>
      <w:r>
        <w:t>https://mcp.opencaselaw.ch/entscheid/bger_5D_116_2023</w:t>
      </w:r>
    </w:p>
    <w:p>
      <w:r>
        <w:t>FR: TF 5D_116/2023 du 3 juillet 2023</w:t>
      </w:r>
    </w:p>
    <w:p>
      <w:r>
        <w:t>IT: TF 5D_116/2023 del 3 luglio 2023</w:t>
      </w:r>
    </w:p>
    <w:p>
      <w:pPr>
        <w:pStyle w:val="Heading2"/>
      </w:pPr>
      <w:r>
        <w:t>Erwägungen</w:t>
      </w:r>
    </w:p>
    <w:p>
      <w:r>
        <w:rPr>
          <w:b/>
        </w:rPr>
        <w:t>E. 1</w:t>
      </w:r>
    </w:p>
    <w:p>
      <w:r>
        <w:t>Für die Vorgeschichte ist auf das Urteil 5D_68/2023 vom 17. April 2023 zu verweisen. Mit Entscheid vom 31. Mai 2023 trat das Obergericht des Kantons Obwalden auf die Beschwerde der Beschwerdeführerin mangels Leistung des Kostenvorschusses nicht ein.</w:t>
      </w:r>
    </w:p>
    <w:p>
      <w:r>
        <w:t>Dagegen hat die Beschwerdeführerin am 2. Juni 2023 Beschwerde an das Obergericht erhoben. Das Obergericht hat die Beschwerde samt den Akten dem Bundesgericht übermittelt ( Art. 48 Abs. 3 BGG ). Mit Verfügung vom 21. Juni 2023 hat das Bundesgericht das Gesuch um aufschiebende Wirkung abgewiesen.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Sie legt jedoch nicht in genügender Weise dar, inwiefern das Obergericht gegen verfassungsmässige Rechte verstossen haben soll. Es genügt den Rügeanforderungen nicht, dem Obergericht in abstrakter Weise Willkür und Diskriminierung vorzuwerfen und geltend zu machen, es bevorzuge den Staat bzw. handle in eigener Sache. Im Übrigen scheint die Beschwerdeführerin das vorliegende Rechtsöffnungsverfahren (Art. 80 f. SchKG) mit einem Beschwerdeverfahren nach Art. 17 ff. SchKG zu verwechseln.</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