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116/2020 vom 24. August 2020</w:t>
      </w:r>
    </w:p>
    <w:p>
      <w:r>
        <w:t>Bundesgericht, 2020-08-24, DE</w:t>
      </w:r>
    </w:p>
    <w:p>
      <w:r>
        <w:rPr>
          <w:b/>
        </w:rPr>
        <w:t xml:space="preserve">Quelle: </w:t>
      </w:r>
      <w:r>
        <w:t>https://mcp.opencaselaw.ch/entscheid/bger_5D_116_2020</w:t>
      </w:r>
    </w:p>
    <w:p>
      <w:r>
        <w:t>FR: TF 5D 116/2020 du 24 août 2020</w:t>
      </w:r>
    </w:p>
    <w:p>
      <w:r>
        <w:t>IT: TF 5D 116/2020 del 24 agosto 2020</w:t>
      </w:r>
    </w:p>
    <w:p>
      <w:pPr>
        <w:pStyle w:val="Heading2"/>
      </w:pPr>
      <w:r>
        <w:t>Regeste</w:t>
      </w:r>
    </w:p>
    <w:p>
      <w:r>
        <w:t>Provisorische Rechtsöffnung | Schuldbetreibungs- und Konkursrecht</w:t>
      </w:r>
    </w:p>
    <w:p>
      <w:pPr>
        <w:pStyle w:val="Heading2"/>
      </w:pPr>
      <w:r>
        <w:t>Erwägungen</w:t>
      </w:r>
    </w:p>
    <w:p>
      <w:r>
        <w:rPr>
          <w:b/>
        </w:rPr>
        <w:t>E. 1</w:t>
      </w:r>
    </w:p>
    <w:p>
      <w:r>
        <w:t>Mit Entscheid vom 9. März 2020 erteilte das Bezirksgericht Kreuzlingen der Beschwerdegegnerin gegenüber dem Beschwerdeführer in der Betreibung Nr. xxx des Betreibungsamtes Kreuzlingen die provisorische Rechtsöffnung für Fr. 9'000.--. Gegen diesen Entscheid erhob der Beschwerdeführer am 18. März 2020 Beschwerde. Mit Entscheid vom 14. Mai 2020 wies das Obergericht des Kantons Thurgau die Beschwerde ab. Gegen diesen Entscheid hat der Beschwerdeführer am 9. Juni 2020 Beschwerde an das Bundesgericht erhoben. Nachdem das Bundesgericht ein Gesuch des Beschwerdeführers um Ratenzahlung des Kostenvorschusses abgewiesen hatte, hat er am 13. Juli 2020 um unentgeltliche Rechtspflege ersucht. Am 14. August 2020 hat er aufforderungsgemäss Belege zu diesem Gesuch eingereicht. Das Bundesgericht hat die Akten beigezogen, jedoch keine Vernehmlassungen eingeholt.</w:t>
      </w:r>
    </w:p>
    <w:p>
      <w:r>
        <w:rPr>
          <w:b/>
        </w:rPr>
        <w:t>E. 2</w:t>
      </w:r>
    </w:p>
    <w:p>
      <w:r>
        <w:t>Aufgrund des unter Fr. 30'000.-- liegenden Streitwerts ( Art. 74 Abs. 1 lit. b BGG ) und mangels Vorliegens einer Rechtsfrage von grundsätzlicher Bedeutung ( Art. 74 Abs. 2 lit. a BGG ) ist die Eingabe als subsidiäre Verfassungsbeschwerdeentgegenzunehmen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nennt keine verfassungsmässigen Rechte, die durch den angefochtenen Entscheid verletzt worden sein sollen. Im Wesentlichen schildert er bloss seine Sicht darauf, wie es zur Unterzeichnung der als provisorischer Rechtsöffnungstitel dienenden Urkunde gekommen sein soll, wobei er teilweise unzulässige neue Behauptungen aufstellt (Art. 117 i.V.m. Art. 99 Abs. 1 BGG ). Die Beschwerde enthält demnach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Diese werden angesichts des geringen entstandenen Aufwands reduziert. Wie die vorstehenden Erwägungen zeigen, war die Beschwerde von vornherein aussichtslos. Das Gesuch um unentgeltliche Rechtspflege ist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