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5D_114/2020 vom 11. Juni 2020</w:t>
      </w:r>
    </w:p>
    <w:p>
      <w:r>
        <w:t>Bundesgericht, 2020-06-11, DE</w:t>
      </w:r>
    </w:p>
    <w:p>
      <w:r>
        <w:rPr>
          <w:b/>
        </w:rPr>
        <w:t xml:space="preserve">Quelle: </w:t>
      </w:r>
      <w:r>
        <w:t>https://mcp.opencaselaw.ch/entscheid/bger_5D_114_2020</w:t>
      </w:r>
    </w:p>
    <w:p>
      <w:r>
        <w:t>FR: TF 5D_114/2020 du 11 juin 2020</w:t>
      </w:r>
    </w:p>
    <w:p>
      <w:r>
        <w:t>IT: TF 5D_114/2020 del 11 giugno 2020</w:t>
      </w:r>
    </w:p>
    <w:p>
      <w:pPr>
        <w:pStyle w:val="Heading2"/>
      </w:pPr>
      <w:r>
        <w:t>Erwägungen</w:t>
      </w:r>
    </w:p>
    <w:p>
      <w:r>
        <w:rPr>
          <w:b/>
        </w:rPr>
        <w:t>E. 1</w:t>
      </w:r>
    </w:p>
    <w:p>
      <w:r>
        <w:t>Mit Entscheid vom 21. Januar 2020 erteilte das Zivilgericht des Kantons Basel-Stadt dem Beschwerdegegner gegenüber dem Beschwerdeführer in der Betreibung Nr. xxx des Betreibungsamtes Basel-Stadt definitive Rechtsöffnung für Fr. 1'223.80 nebst Zins und Gebühren.</w:t>
      </w:r>
    </w:p>
    <w:p>
      <w:r>
        <w:t>Dagegen erhob der Beschwerdeführer am 8. Februar 2020 Beschwerde beim Appellationsgericht des Kantons Basel-Stadt. Mit Entscheid vom 20. April 2020 trat das Appellationsgericht auf die Beschwerde nicht ein, nachdem der Beschwerdeführer den verlangten Kostenvorschuss von Fr. 200.-- innert Nachfrist nicht geleistet hatte.</w:t>
      </w:r>
    </w:p>
    <w:p>
      <w:r>
        <w:t>Gegen diesen Entscheid (sowie einen weiteren; dazu Verfahren 5D_115/2020) hat der Beschwerdeführer am 26. Mai 2020 (Postaufgabe) Beschwerde in Zivilsachen und Verfassungsbeschwerde an das Bundesgericht erhoben.</w:t>
      </w:r>
    </w:p>
    <w:p>
      <w:r>
        <w:rPr>
          <w:b/>
        </w:rPr>
        <w:t>E. 2</w:t>
      </w:r>
    </w:p>
    <w:p>
      <w:r>
        <w:t>Aufgrund des - entgegen der Ansicht des Beschwerdeführers - unter Fr. 30'000.-- liegenden Streitwerts ( Art. 74 Abs. 1 lit. b BGG ) und mangels Vorliegens einer Rechtsfrage von grundsätzlicher Bedeutung ( Art. 74 Abs. 2 lit. a BGG ) ist die Beschwerde in Zivilsachen unzulässig. Die Eingabe ist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er sei keinem Staate einen Kostenvorschuss, Steuern oder seine amtlichen Schulden schuldig, da der Kanton Basel-Stadt ihn am 3. Juli 2012 eingezogen, kastriert und geschändet habe und dabei wahre geschichtliche Tatsachen hinterzogen habe.</w:t>
      </w:r>
    </w:p>
    <w:p>
      <w:r>
        <w:t>Bei alldem fehlt eine Auseinandersetzung mit dem angefochtenen Entscheid und der Beschwerdeführer legt insbesondere nicht dar, weshalb die Erhebung eines Kostenvorschusses oder der Nichteintretensentscheid nach Nichtbezahlung des Vorschusses gegen verfassungsmässige Rechte verstossen soll.</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