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113/2021 vom 21. Juni 2021</w:t>
      </w:r>
    </w:p>
    <w:p>
      <w:r>
        <w:t>Bundesgericht, 2021-06-21, FR</w:t>
      </w:r>
    </w:p>
    <w:p>
      <w:r>
        <w:rPr>
          <w:b/>
        </w:rPr>
        <w:t xml:space="preserve">Quelle: </w:t>
      </w:r>
      <w:r>
        <w:t>https://mcp.opencaselaw.ch/entscheid/bger_5D_113_2021</w:t>
      </w:r>
    </w:p>
    <w:p>
      <w:r>
        <w:t>FR: TF 5D 113/2021 du 21 juin 2021</w:t>
      </w:r>
    </w:p>
    <w:p>
      <w:r>
        <w:t>IT: TF 5D 113/2021 del 21 giugno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24 novembre 2020, la Juge de paix du district de l'Ouest lausannois a levé définitivement, à concurrence de 3'745 fr. 05 (en capital), l'opposition formée par A.________ au commandement de payer qui lui a été notifié à la réquisition de l'État de Vaud ( poursuite n° x'xxx'xxx de l'Office des poursuites de l'Ouest lausannois ). Par arrêt du 4 mai 2021, la Cour des poursuites et faillites du Tribunal cantonal vaudois a déclaré irrecevable le recours du poursuivi.</w:t>
      </w:r>
    </w:p>
    <w:p>
      <w:r>
        <w:rPr>
          <w:b/>
        </w:rPr>
        <w:t>E. 2</w:t>
      </w:r>
    </w:p>
    <w:p>
      <w:r>
        <w:t>Par écriture expédiée le 10 juin 2021, le poursuivi exerce un recours au Tribunal fédéral contre l'arrêt précité. 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que, dans son acte de recours, le poursuivi a formulé diverses récriminations au sujet d'un litige l'opposant à son ancien employeur, " mais aucun grief ni moyen reconnaissable ou compréhensible " à l'encontre du prononcé attaqué; il n'a notamment pas critiqué les motifs du premier juge selon lesquels le poursuivant se trouve au bénéfice d'une décision fiscale assimilée à un jugement exécutoire au sens de l' art. 80 LP et valant ainsi titre à la mainlevée définitive.</w:t>
      </w:r>
    </w:p>
    <w:p>
      <w:r>
        <w:rPr>
          <w:b/>
        </w:rPr>
        <w:t>E. 4.2</w:t>
      </w:r>
    </w:p>
    <w:p>
      <w:r>
        <w:t>Le mémoire de recours ne contient pas le moindre grief intelligible et de nature constitutionnelle ( art. 116 LTF ) exposant en quoi le motif d'irrecevabilité admis par les magistrats précédents serait arbitraire ou contraire à d'autres droits fondamentaux ( art. 106 al. 2 et 117 LTF ). Il s'ensuit que le recours est d'emblée irrecevable de ce chef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