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5D_113/2018 vom 3. Juli 2018</w:t>
      </w:r>
    </w:p>
    <w:p>
      <w:r>
        <w:t>Bundesgericht, 2018-07-03, IT</w:t>
      </w:r>
    </w:p>
    <w:p>
      <w:r>
        <w:rPr>
          <w:b/>
        </w:rPr>
        <w:t xml:space="preserve">Quelle: </w:t>
      </w:r>
      <w:r>
        <w:t>https://mcp.opencaselaw.ch/entscheid/bger_5D_113_2018</w:t>
      </w:r>
    </w:p>
    <w:p>
      <w:r>
        <w:t>FR: TF 5D_113/2018 du 3 juillet 2018</w:t>
      </w:r>
    </w:p>
    <w:p>
      <w:r>
        <w:t>IT: TF 5D_113/2018 del 3 luglio 2018</w:t>
      </w:r>
    </w:p>
    <w:p>
      <w:pPr>
        <w:pStyle w:val="Heading2"/>
      </w:pPr>
      <w:r>
        <w:t>Erwägungen</w:t>
      </w:r>
    </w:p>
    <w:p>
      <w:r>
        <w:rPr>
          <w:b/>
        </w:rPr>
        <w:t>E. 1</w:t>
      </w:r>
    </w:p>
    <w:p>
      <w:r>
        <w:t>L'azienda A.________SAS ha escusso B.________SA per l'incasso di fr. 4'413.78 oltre interessi dell'8 % dal 31 agosto 2016.</w:t>
      </w:r>
    </w:p>
    <w:p>
      <w:r>
        <w:t>In parziale accoglimento dell'istanza presentata dalla creditrice escutente, con decisione 28 novembre 2017 il Giudice di pace del Circolo di Vezia ha rigettato in via provvisoria l'opposizione interposta dalla società escussa al precetto esecutivo limitatamente a fr. 4'413.78 oltre interessi del 5 % dal 10 aprile 2017.</w:t>
      </w:r>
    </w:p>
    <w:p>
      <w:r>
        <w:t>Con sentenza 28 maggio 2018 la Camera di esecuzione e fallimenti del Tribunale d'appello del Cantone Ticino ha accolto il reclamo introdotto da B.________SA e ha respinto la predetta istanza. La Corte cantonale ha osservato che la documentazione prodotta dall'istante non reca la firma manoscritta del rappresentante della società escussa o di un suo organo, né riveste le caratteristiche di un atto pubblico, per cui non può essere considerata quale valido titolo di rigetto provvisorio dell'opposizione.</w:t>
      </w:r>
    </w:p>
    <w:p>
      <w:r>
        <w:rPr>
          <w:b/>
        </w:rPr>
        <w:t>E. 2</w:t>
      </w:r>
    </w:p>
    <w:p>
      <w:r>
        <w:t>A.________SAS si è rivolta al Tribunale federale con un allegato datato 22 giugno 2018.</w:t>
      </w:r>
    </w:p>
    <w:p>
      <w:r>
        <w:t>Non sono state chieste determinazioni.</w:t>
      </w:r>
    </w:p>
    <w:p>
      <w:r>
        <w:rPr>
          <w:b/>
        </w:rPr>
        <w:t>E. 3.1</w:t>
      </w:r>
    </w:p>
    <w:p>
      <w:r>
        <w:t>In virtù dell' art. 42 cpv. 1 LTF l'atto ricorsuale al Tribunale federale deve contenere le conclusioni ed i motivi.</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rPr>
          <w:b/>
        </w:rPr>
        <w:t>E. 3.2</w:t>
      </w:r>
    </w:p>
    <w:p>
      <w:r>
        <w:t>Il rimedio qui discusso non contiene alcuna proposta di giudizio. Inoltre, esso non soddisfa le esigenze di motivazione dei combinati art. 117 e 106 cpv. 2 LTF : la ricorrente si limita infatti a spiegare per quale motivo la firma non compare sulla documentazione prodotta, senza seriamente confrontarsi con l'argomentazione del giudizio cantonale e senza minimamente prevalersi della lesione di diritti costituzionali.</w:t>
      </w:r>
    </w:p>
    <w:p>
      <w:r>
        <w:rPr>
          <w:b/>
        </w:rPr>
        <w:t>E. 4</w:t>
      </w:r>
    </w:p>
    <w:p>
      <w:r>
        <w:t>Da quanto precede discende che il ricorso, manifestamente inammissibile e manifestamente non motivato in modo sufficiente, può essere deciso nella procedura semplificata dei combinati art. 117 e 108 cpv. 1 lett. a e b LTF.</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alle parti e alla Camera di esecuzione e fallimenti del Tribunale d'appello del Cantone Ticino.</w:t>
      </w:r>
    </w:p>
    <w:p>
      <w:r>
        <w:t>Losanna, 3 luglio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