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5D_111/2020 vom 9. Juni 2020</w:t>
      </w:r>
    </w:p>
    <w:p>
      <w:r>
        <w:t>Bundesgericht, 2020-06-09, DE</w:t>
      </w:r>
    </w:p>
    <w:p>
      <w:r>
        <w:rPr>
          <w:b/>
        </w:rPr>
        <w:t xml:space="preserve">Quelle: </w:t>
      </w:r>
      <w:r>
        <w:t>https://mcp.opencaselaw.ch/entscheid/bger_5D_111_2020</w:t>
      </w:r>
    </w:p>
    <w:p>
      <w:r>
        <w:t>FR: TF 5D_111/2020 du 9 juin 2020</w:t>
      </w:r>
    </w:p>
    <w:p>
      <w:r>
        <w:t>IT: TF 5D_111/2020 del 9 giugno 2020</w:t>
      </w:r>
    </w:p>
    <w:p>
      <w:pPr>
        <w:pStyle w:val="Heading2"/>
      </w:pPr>
      <w:r>
        <w:t>Erwägungen</w:t>
      </w:r>
    </w:p>
    <w:p>
      <w:r>
        <w:rPr>
          <w:b/>
        </w:rPr>
        <w:t>E. 1</w:t>
      </w:r>
    </w:p>
    <w:p>
      <w:r>
        <w:t>Angefochten ist ein kantonal letztinstanzlicher Rechtsöffnungsentscheid mit einem Streitwert unter Fr. 30'000.--; somit ist die Beschwerde in Zivilsachen nicht gegeben (Art. 72 Abs. 2 lit. a, Art. 74 Abs. 1 lit. b, 75 Abs. 1 und Art. 90 BGG ), sondern steht einzig die subsidiäre Verfassungsbeschwerde offen ( Art. 113 BGG ).</w:t>
      </w:r>
    </w:p>
    <w:p>
      <w:r>
        <w:rPr>
          <w:b/>
        </w:rPr>
        <w:t>E. 2</w:t>
      </w:r>
    </w:p>
    <w:p>
      <w:r>
        <w:t>Formell werden zwar verfassungsmässige Rechte als verletzt angerufen ( Art. 116 BGG ). Indes genügen die Ausführungen den an Verfassungsrügen zu stellenden Begründungsanforderungen (vgl. dazu BGE 134 II 244 E. 2.2 S. 246; 140 III 264 E. 2.3 S. 266; 142 III 364 E. 2.4 S. 368) offensichtlich nicht:</w:t>
      </w:r>
    </w:p>
    <w:p>
      <w:r>
        <w:t>Der Beschwerdeführer macht geltend, die vorgelegte Veranlagungsverfügung 2002 sei mit einer Rechtskraftbescheinigung vom 23. Oktober 2018 versehen und die Steuerbehörde habe den Abzug von Fr. 1'500.-- unverändert belassen bzw. sei diesbezüglich von der Empfehlung der Steuerrekurskommission abgewichen, weil dem ursprünglichen Scheidungsurteil aus dem Jahr 1995 ein seitens des Anwaltes der Gegenseite gefälschter Lohnausweis der Beschwerdegegnerin zugrunde gelegen habe und deshalb das Urteil nachträglich habe korrigiert werden müssen. Alles sei deshalb völlig nachvollziehbar. Es gehe nicht an, dass das Gericht die Echtheit klarer amtlicher Urkunden der Steuerbehörden in Frage stelle und den Behauptungen des gegnerischen Anwaltes glaube, welcher den Gerichten falsche Angaben mache.</w:t>
      </w:r>
    </w:p>
    <w:p>
      <w:r>
        <w:t>Diese Ausführungen sind zum grossen Teil neu und damit unzulässig (Art. 99 Abs. 1 i.V.m. Art. 117 BGG ). Im Übrigen werden dadurch die Behauptungen des Beschwerdeführers nicht nachvollziehbarer, sondern noch weniger glaubwürdig. Jedenfalls sind sie nicht geeignet, in Bezug auf die Kernerwägung - die Steuerrekurskommission habe anders entschieden und die auszugsweise vorgelegte, mit einer Rechtskraftbescheinigung vom 23. Oktober 2018 versehene Steuerveranlagung mache vor diesem Hintergrund keinen Reim - Willkür oder eine Gehörsverletzung darzutun.</w:t>
      </w:r>
    </w:p>
    <w:p>
      <w:r>
        <w:rPr>
          <w:b/>
        </w:rPr>
        <w:t>E. 3</w:t>
      </w:r>
    </w:p>
    <w:p>
      <w:r>
        <w:t>Auf die offensichtlich nicht hinreichend begründete Beschwerde ist im vereinfachten Verfahren nach Art. 108 Abs. 1 lit. b i.V.m. Art. 117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