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5D_111/2015 vom 6. Oktober 2015</w:t>
      </w:r>
    </w:p>
    <w:p>
      <w:r>
        <w:t>Bundesgericht, 2015-10-06, DE</w:t>
      </w:r>
    </w:p>
    <w:p>
      <w:r>
        <w:rPr>
          <w:b/>
        </w:rPr>
        <w:t xml:space="preserve">Quelle: </w:t>
      </w:r>
      <w:r>
        <w:t>https://mcp.opencaselaw.ch/entscheid/bger_5D_111_2015</w:t>
      </w:r>
    </w:p>
    <w:p>
      <w:r>
        <w:t>FR: TF 5D_111/2015 du 6 octobre 2015</w:t>
      </w:r>
    </w:p>
    <w:p>
      <w:r>
        <w:t>IT: TF 5D_111/2015 del 6 ottobre 2015</w:t>
      </w:r>
    </w:p>
    <w:p>
      <w:pPr>
        <w:pStyle w:val="Heading2"/>
      </w:pPr>
      <w:r>
        <w:t>Erwägungen</w:t>
      </w:r>
    </w:p>
    <w:p>
      <w:r>
        <w:rPr>
          <w:b/>
        </w:rPr>
        <w:t>E. 1.1</w:t>
      </w:r>
    </w:p>
    <w:p>
      <w:r>
        <w:t>Das Bundesgericht prüft von Amtes wegen und mit freier Kognition, ob eine bei ihm eingereichte Beschwerde zulässig ist ( BGE 140 IV 57 E. 2 S. 59; 138 III 471 E. 1 S. 475).</w:t>
      </w:r>
    </w:p>
    <w:p>
      <w:r>
        <w:rPr>
          <w:b/>
        </w:rPr>
        <w:t>E. 1.2</w:t>
      </w:r>
    </w:p>
    <w:p>
      <w:r>
        <w:t>Die Beschwerde richtet sich gegen den Entscheid einer letzten kantonalen Instanz ( Art. 75 Abs. 1 BGG ). Der Sache nach betrifft der Streit um den Prozesskostenvorschuss die Leistung von Unterhalt an das volljährige Kind ( Art. 277 Abs. 2 ZGB ), also eine Zivilsache im Sinne von Art. 72 Abs. 1 BGG . Die besagte elterliche Unterhaltspflicht umfasst grundsätzlich auch die Prozesskosten ( BGE 127 I 202 E. 3d-f S. 206 ff.). Nach Massgabe von Art. 261 ff. ZPO kann der Richter für die Dauer des Prozesses vorsorgliche Massnahmen treffen. Zu diesen Massnahmen zählt auch die - hier umstrittene - Anordnung an den beklagten Elternteil, dem volljährigen Kind im Hinblick auf dessen Unterhaltsklage einen Prozesskostenvorschuss zu leisten (Urteil 5P.184/2005 E. 1.3 mit Hinweisen). Dabei handelt es sich um einen selbständig eröffneten Zwischenentscheid ( Art. 93 BGG ). Denn wer schliesslich für die Prozesskosten aufzukommen hat, wird endgültig erst im Unterhaltsstreit entschieden werden. Insofern unterscheidet sich die hier zu beurteilende Streitsache von Eheschutzentscheiden und vorsorglichen Massnahmen im Scheidungsverfahren, die das Bundesgericht als Endentscheide ( Art. 90 BGG ) qualifiziert ( BGE 133 III 393 E. 4. S. 395 f.). Auf einen solchen Massnahme- oder Eheschutzentscheid kann im Scheidungsprozess nicht mehr zurückgekommen werden ( BGE 134 III 426 E. 2.2 S. 431 f.; speziell zur sog. provisio ad litem eines Ehegatten zu Gunsten des andern: Urteil 5D_30/2013 vom 15. April 2013 E. 1). Hingegen kann im vorliegenden Fall über die Prozesskosten immer auch noch im (Hauptsache-) Endentscheid betreffend den Volljährigenunterhalt entschieden werden.</w:t>
      </w:r>
    </w:p>
    <w:p>
      <w:r>
        <w:rPr>
          <w:b/>
        </w:rPr>
        <w:t>E. 2.1</w:t>
      </w:r>
    </w:p>
    <w:p>
      <w:r>
        <w:t>Gegen Vor- und Zwischenentscheide ist die Beschwerde an das Bundesgericht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Der drohende nicht wieder gutzumachende Nachteil im Sinne von Art. 93 Abs. 1 Bst.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dem Beschwerdeführer darzutun, dass eine dieser beiden Voraussetzungen erfüllt ist ( BGE 137 III 324 E. 1.1 S. 329; 134 III 426 E. 1.2 in fine S. 429), es sei denn, deren Vorliegen springe geradezu in die Augen ( BGE 133 III 629 E. 2.4.2 S. 633).</w:t>
      </w:r>
    </w:p>
    <w:p>
      <w:r>
        <w:rPr>
          <w:b/>
        </w:rPr>
        <w:t>E. 2.2</w:t>
      </w:r>
    </w:p>
    <w:p>
      <w:r>
        <w:t>Der Beschwerdeführer behauptet an keiner Stelle in seiner Beschwerde, der vorinstanzliche Entscheid könne einen nicht wieder gutzumachenden Nachteil bewirken oder die Gutheissung seiner Beschwerde würde sofort einen Endentscheid herbeiführen und damit einen bedeutenden Aufwand an Zeit und Kosten für ein weitläufiges Beweisverfahren ersparen. Tut der Beschwerdeführer aber überhaupt nicht dar, warum ein selbständig anfechtbarer Zwischenentscheid im Sinne von Art. 93 Abs. 1 BGG vorliegt, übersieht er mithin diese Eintretensfrage schlechthin, so kann das Bundesgericht von vornherein nicht auf die Beschwerde eintreten (Urteil 5A_620/2011 vom 16. November 2011 E. 3.2 mit Hinweisen). Damit kann offen bleiben, ob die Vorinstanz dem Beschwerdeführer zu Recht vorwirft, seine Bedürftigkeit nicht bzw. verspätet geltend gemacht zu haben.</w:t>
      </w:r>
    </w:p>
    <w:p>
      <w:r>
        <w:rPr>
          <w:b/>
        </w:rPr>
        <w:t>E. 3</w:t>
      </w:r>
    </w:p>
    <w:p>
      <w:r>
        <w:t>Die Vorinstanz verweigert dem Beschwerdeführer die unentgeltliche Rechtspflege für das kantonale Beschwerdeverfahren. Sie begründet dies mit einem Hinweis auf den von ihr gefällten Beschwerdeentscheid im Streit um den Prozesskostenvorschuss. Der Beschwerdeführer sieht darin eine Verletzung der Begründungspflicht, "indem sie [gemeint: die Vorinstanz] aus der Abweisung der Beschwerde auf deren angebliche Aussichtslosigkeit schloss". Auch auf diesen Vorwurf ist nicht einzutreten. Im Streit um die unentgeltliche Rechtspflege folgt der Rechtsweg vor Bundesgericht jenem der Hauptsache (Urteil 5A_58/2014 vom 17. Oktober 2014 E. 1). Mündet der Prozess, für den um das Armenrecht gestritten wird, in einen Zwischenentscheid, und tritt das Bundesgericht auf die dagegen erhobene Beschwerde nicht ein (E. 2), so muss diese Nichteintretensfolge auch gelten, soweit mit derselben Beschwerde die Verweigerung des Armenrechts für das vorinstanzliche Rechtsmittelverfahren beanstandet wird. Dass der Anspruch auf rechtliches Gehör formeller Natur und daher vorweg zu prüfen ist, ändert daran nichts (vgl. Urteil 5A_187/2014 vom 9. Mai 2014 E. 4).</w:t>
      </w:r>
    </w:p>
    <w:p>
      <w:r>
        <w:rPr>
          <w:b/>
        </w:rPr>
        <w:t>E. 4</w:t>
      </w:r>
    </w:p>
    <w:p>
      <w:r>
        <w:t>Bei diesem Ausgang des Verfahrens wird der Beschwerdeführer kostenpflichtig ( Art. 66 Abs. 1 BGG ). Er schuldet dem Beschwerdegegner aber keine Entschädigung: Der Beschwerdegegner wurde nur zur Frage der aufschiebenden Wirkung zur Vernehmlassung eingeladen und unterlag in diesem Punkt (s. Sachverhalt Bst. D). Die Gesuche beider Parteien um unentgeltliche Rechtspflege und Verbeiständung können gutgeheissen werden ( Art. 64 Abs. 1 und 2 BGG ). Angesichts der finanziellen Situation des Beschwerdeführers ist die Rechtsanwältin des Beschwerdegegners direkt aus der Bundesgerichtskasse zu entschädigen. Der Beschwerdeführer hat der Gerichtskasse Ersatz zu leisten, wenn er später dazu in der Lage ist ( Art. 64 Abs. 4 BGG ). Weil der Beschwerde die aufschiebende Wirkung erteilt wurde, ist schliesslich die Frist zur Leistung des Parteikostenvorschusses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