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110/2019 vom 27. Mai 2019</w:t>
      </w:r>
    </w:p>
    <w:p>
      <w:r>
        <w:t>Bundesgericht, 2019-05-27, DE</w:t>
      </w:r>
    </w:p>
    <w:p>
      <w:r>
        <w:rPr>
          <w:b/>
        </w:rPr>
        <w:t xml:space="preserve">Quelle: </w:t>
      </w:r>
      <w:r>
        <w:t>https://mcp.opencaselaw.ch/entscheid/bger_5D_110_2019</w:t>
      </w:r>
    </w:p>
    <w:p>
      <w:r>
        <w:t>FR: TF 5D 110/2019 du 27 mai 2019</w:t>
      </w:r>
    </w:p>
    <w:p>
      <w:r>
        <w:t>IT: TF 5D 110/2019 del 27 maggio 2019</w:t>
      </w:r>
    </w:p>
    <w:p>
      <w:pPr>
        <w:pStyle w:val="Heading2"/>
      </w:pPr>
      <w:r>
        <w:t>Regeste</w:t>
      </w:r>
    </w:p>
    <w:p>
      <w:r>
        <w:t>Kostenvorschuss (Einsetzung einer Erbenvertretung) | Erbrecht</w:t>
      </w:r>
    </w:p>
    <w:p>
      <w:pPr>
        <w:pStyle w:val="Heading2"/>
      </w:pPr>
      <w:r>
        <w:t>Erwägungen</w:t>
      </w:r>
    </w:p>
    <w:p>
      <w:r>
        <w:rPr>
          <w:b/>
        </w:rPr>
        <w:t>E. 1</w:t>
      </w:r>
    </w:p>
    <w:p>
      <w:r>
        <w:t>Soweit die Beschwerde sinngemäss wiederum die unentgeltliche Rechtspflege beschlägt, so wurde darüber im Urteil 5A_893/2018 befunden. Darauf ist nicht zurückzukommen.</w:t>
      </w:r>
    </w:p>
    <w:p>
      <w:r>
        <w:rPr>
          <w:b/>
        </w:rPr>
        <w:t>E. 2</w:t>
      </w:r>
    </w:p>
    <w:p>
      <w:r>
        <w:t>Soweit die Kostenvorschussverfügung als solche angefochten wird, handelt es sich um einen Zwischenentscheid, der nur unter den besonderen Voraussetzungen von Art. 93 Abs. 1 BGG beim Bundesgericht anfechtbar ist. Die Beschwerdeführerin behauptet zwar einen nicht wieder gutzumachenden Nachteil. Dieser geht aber erneut in der Frage auf, ob ein Anspruch auf unentgeltliche Rechtspflege besteht. Darüber wurde wie gesagt im Urteil 5A_893/2018 entschieden. Im Übrigen wäre mit dem Standpunkt, Art. 98 ZPO sei eine kann-Vorschrift und die Vorschusserhebung deshalb fakultativ, ohnehin keine Rechtsverletzung darzutun ( Art. 42 Abs. 2 BGG ), denn Art. 98 ZPO gibt dem Gericht eben gerade die Möglichkeit einen Vorschuss zu verlangen, und dies wird denn auch regelmässig getan. Soweit sich die Beschwerdeführerin in der Sache selbst äussert und Verfassungsrechte rügt (namentlich, sie müsse zugunsten der Erbengemeinschaft Frondienste und damit Sklavenarbeit leisten), geht sie über den Gegenstand des angefochtenen Aktes (Höhe des Kostenvorschusses) hinaus. Darauf ist nicht einzutreten ( BGE 142 I 155 E. 4.4.2 S. 156).</w:t>
      </w:r>
    </w:p>
    <w:p>
      <w:r>
        <w:rPr>
          <w:b/>
        </w:rPr>
        <w:t>E. 3</w:t>
      </w:r>
    </w:p>
    <w:p>
      <w:r>
        <w:t>Nach dem Gesagten erweist sich die Beschwerde als teils offensichtlich unzulässig und teils offensichtlich nicht hinreichend begründet, weshalb auf sie nicht eingetreten werden kann und der Präsident im vereinfachten Verfahren entscheidet ( Art. 108 Abs. 1 lit. a und b BGG ).</w:t>
      </w:r>
    </w:p>
    <w:p>
      <w:r>
        <w:rPr>
          <w:b/>
        </w:rPr>
        <w:t>E. 4</w:t>
      </w:r>
    </w:p>
    <w:p>
      <w:r>
        <w:t>Mit dem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für das bundesgerichtliche Verfahren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