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5D_10/2026 vom 25. März 2026</w:t>
      </w:r>
    </w:p>
    <w:p>
      <w:r>
        <w:t>Bundesgericht, 2026-03-25, DE</w:t>
      </w:r>
    </w:p>
    <w:p>
      <w:r>
        <w:rPr>
          <w:b/>
        </w:rPr>
        <w:t xml:space="preserve">Quelle: </w:t>
      </w:r>
      <w:r>
        <w:t>https://mcp.opencaselaw.ch/entscheid/bger_5D_10_2026</w:t>
      </w:r>
    </w:p>
    <w:p>
      <w:r>
        <w:t>FR: TF 5D_10/2026 du 25 mars 2026</w:t>
      </w:r>
    </w:p>
    <w:p>
      <w:r>
        <w:t>IT: TF 5D_10/2026 del 25 marzo 2026</w:t>
      </w:r>
    </w:p>
    <w:p>
      <w:pPr>
        <w:pStyle w:val="Heading2"/>
      </w:pPr>
      <w:r>
        <w:t>Erwägungen</w:t>
      </w:r>
    </w:p>
    <w:p>
      <w:r>
        <w:rPr>
          <w:b/>
        </w:rPr>
        <w:t>E. 1</w:t>
      </w:r>
    </w:p>
    <w:p>
      <w:r>
        <w:t>Angefochten ist ein kantonal letztinstanzlicher Entscheid in einer Zivilsache ( Art. 72 Abs. 1 und Art. 75 Abs. 1 BGG ), welcher ausschliesslich die in einem separaten erstinstanzlichen Entscheid festgesetzte Höhe der Parteikosten betrifft, wobei der diesbezügliche Streitwert die für die Beschwerde in Zivilsachen erforderliche Mindestsumme von Fr. 30'000.-- ( Art. 74 Abs. 1 lit. b BGG ) nicht erreicht. Somit steht die subsidiäre Verfassungsbeschwerde offen ( Art. 113 BGG ) und die als Beschwerde in Zivilsachen bezeichnete Eingabe des Beschwerdeführers ist als subsidiäre Verfassungsbeschwerde entgegenzunehmen.</w:t>
      </w:r>
    </w:p>
    <w:p>
      <w:r>
        <w:rPr>
          <w:b/>
        </w:rPr>
        <w:t>E. 2</w:t>
      </w:r>
    </w:p>
    <w:p>
      <w:r>
        <w:t>Mit der subsidiären Verfassungsbeschwerde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140 III 264 E. 2.3; 142 III 364 E. 2.4).</w:t>
      </w:r>
    </w:p>
    <w:p>
      <w:r>
        <w:rPr>
          <w:b/>
        </w:rPr>
        <w:t>E. 3</w:t>
      </w:r>
    </w:p>
    <w:p>
      <w:r>
        <w:t>Der Beschwerdeführer rügt eine Verletzung von Art. 29 Abs. 3 BV mit der Begründung, er sei mittellos und finanziell komplett von seiner Ehefrau bzw. von deren Krankentaggeld abhängig; sodann sei seine Beschwerde nicht aussichtslos gewesen, da sie sich auf Beweise und rechtliche Argumente gestützt habe.</w:t>
      </w:r>
    </w:p>
    <w:p>
      <w:r>
        <w:t>Die Behauptung der Mittellosigkeit geht insofern an der Sache vorbei, als der angefochtene Entscheid ausschliesslich auf das Argument der Aussichtslosigkeit gestützt ist. Diesbezüglich hat das Obergericht erwogen, weder mache der Beschwerdeführer geltend, dass der Bezirksrat ihm als unterliegende Partei zu Unrecht die Prozesskosten auferlegt habe, noch lege er dar, dass bzw. aus welchen Gründen seine Beschwerde entgegen den Erwägungen im bezirksgerichtlichen Entscheid hätte Erfolgsaussichten haben können. Diesbezüglich zeigt der Beschwerdeführer keine Verfassungsverletzung auf, wenn er abstrakt behauptet, seine Beschwerde habe sich "auf Beweise und rechtliche Argumente" gestützt. Er müsste im Einzelnen darlegen, inwiefern er sich in seiner Beschwerde an das Obergericht mit dem Ausgang des bezirksgerichtlichen Entscheides und der diesbezügliche Kostenverlegung im Einzelnen auseinandergesetzt hätte und die gegenteilige Erwägung im angefochtenen Entscheid verfassungsmässige Rechte verletzen würde.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