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5D_10/2025 vom 9. Mai 2025</w:t>
      </w:r>
    </w:p>
    <w:p>
      <w:r>
        <w:t>Bundesgericht, 2025-05-09, DE</w:t>
      </w:r>
    </w:p>
    <w:p>
      <w:r>
        <w:rPr>
          <w:b/>
        </w:rPr>
        <w:t xml:space="preserve">Quelle: </w:t>
      </w:r>
      <w:r>
        <w:t>https://mcp.opencaselaw.ch/entscheid/bger_5D_10_2025</w:t>
      </w:r>
    </w:p>
    <w:p>
      <w:r>
        <w:t>FR: TF 5D_10/2025 du 9 mai 2025</w:t>
      </w:r>
    </w:p>
    <w:p>
      <w:r>
        <w:t>IT: TF 5D_10/2025 del 9 maggio 2025</w:t>
      </w:r>
    </w:p>
    <w:p>
      <w:pPr>
        <w:pStyle w:val="Heading2"/>
      </w:pPr>
      <w:r>
        <w:t>Erwägungen</w:t>
      </w:r>
    </w:p>
    <w:p>
      <w:r>
        <w:rPr>
          <w:b/>
        </w:rPr>
        <w:t>E. 1</w:t>
      </w:r>
    </w:p>
    <w:p>
      <w:r>
        <w:t>Der Beschwerdegegner betreibt die Beschwerdeführerin in der Betreibung Nr. xxx des Betreibungsamtes Zürich 7 für Fr. 1'525.-- nebst Zins, Mahngebühren und Betreibungskosten.</w:t>
      </w:r>
    </w:p>
    <w:p>
      <w:r>
        <w:t>Mit Eingabe vom 5. April 2024 erhob die Beschwerdeführerin beim Bezirksgericht Zürich eine negative Feststellungsklage gemäss Art. 85a SchKG . Mit Urteil vom 30. Mai 2024 hiess das Bezirksgericht die Klage in Bezug auf die Zinsen teilweise und in Bezug auf die Mahngebühren vollumfänglich gut und wies sie im Übrigen ab.</w:t>
      </w:r>
    </w:p>
    <w:p>
      <w:r>
        <w:t>Dagegen erhob die Beschwerdeführerin am 19. August 2024 Beschwerde. Mit Entscheid vom 15. November 2024 wies das Obergericht des Kantons Zürich die Beschwerde ab, soweit es darauf eintrat.</w:t>
      </w:r>
    </w:p>
    <w:p>
      <w:r>
        <w:t>Dagegen hat die Beschwerdeführerin am 17. Januar 2025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teilweise eine wörtliche Wiederholung der Beschwerde an das Obergericht dar. Dies genügt den Rügeanforderungen nicht ( BGE 134 II 244 E. 2.3). Im Übrigen schildert die Beschwerdeführerin bloss ihre Sicht auf den Sachverhalt und die Rechtslage. Soweit sie die Verletzung verfassungsmässiger Rechte rügt (Willkürverbot, rechtliches Gehör), erfolgt dies pauschal und ohne Auseinandersetzung mit den obergerichtlichen Erwägungen bzw. ohne detailliert aufzuzeigen, welche Rügen das Obergericht übergangen haben soll.</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