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5D_109/2023 vom 3. Juli 2023</w:t>
      </w:r>
    </w:p>
    <w:p>
      <w:r>
        <w:t>Bundesgericht, 2023-07-03, DE</w:t>
      </w:r>
    </w:p>
    <w:p>
      <w:r>
        <w:rPr>
          <w:b/>
        </w:rPr>
        <w:t xml:space="preserve">Quelle: </w:t>
      </w:r>
      <w:r>
        <w:t>https://mcp.opencaselaw.ch/entscheid/bger_5D_109_2023</w:t>
      </w:r>
    </w:p>
    <w:p>
      <w:r>
        <w:t>FR: TF 5D_109/2023 du 3 juillet 2023</w:t>
      </w:r>
    </w:p>
    <w:p>
      <w:r>
        <w:t>IT: TF 5D_109/2023 del 3 luglio 2023</w:t>
      </w:r>
    </w:p>
    <w:p>
      <w:pPr>
        <w:pStyle w:val="Heading2"/>
      </w:pPr>
      <w:r>
        <w:t>Erwägungen</w:t>
      </w:r>
    </w:p>
    <w:p>
      <w:r>
        <w:rPr>
          <w:b/>
        </w:rPr>
        <w:t>E. 1</w:t>
      </w:r>
    </w:p>
    <w:p>
      <w:r>
        <w:t>Für die Vorgeschichte ist auf das Urteil 5D_61/2023 vom 17. April 2023 zu verweisen. Mit Entscheid vom 31. Mai 2023 trat das Obergericht des Kantons Obwalden auf die Beschwerde der Beschwerdeführerin mangels Leistung des Kostenvorschusses nicht ein.</w:t>
      </w:r>
    </w:p>
    <w:p>
      <w:r>
        <w:t>Dagegen hat die Beschwerdeführerin am 2. Juni 2023 Beschwerde an das Obergericht erhoben. Das Obergericht hat die Beschwerde samt den Akten dem Bundesgericht übermittelt ( Art. 48 Abs. 3 BGG ). Mit Verfügung vom 21. Juni 2023 hat das Bundesgericht das Gesuch um aufschiebende Wirkung abgewiesen.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w:t>
      </w:r>
    </w:p>
    <w:p>
      <w:r>
        <w:t>Das Obergericht ist auf die Beschwerde nicht eingetreten. Thema des bundesgerichtlichen Verfahrens ist demnach grundsätzlich einzig, ob es dadurch gegen verfassungsmässige Rechte verstossen hat. Diesbezüglich müsste die Beschwerdeführerin anhand der Erwägungen des angefochtenen Entscheids klar und detailliert darlegen, inwiefern verfassungsmässige Rechte verletzt worden sein sollen (Art. 117 i.V.m. Art. 106 Abs. 2 BGG ; BGE 133 II 396 E. 3.1; 142 III 364 E. 2.4). Sie legt jedoch nicht in genügender Weise dar, inwiefern das Obergericht gegen verfassungsmässige Rechte verstossen haben soll. Es genügt den Rügeanforderungen nicht, dem Obergericht in abstrakter Weise Willkür und Diskriminierung vorzuwerfen und geltend zu machen, es bevorzuge den Staat bzw. handle in eigener Sache. Im Übrigen scheint die Beschwerdeführerin das vorliegende Rechtsöffnungsverfahren (Art. 80 f. SchKG) mit einem Beschwerdeverfahren nach Art. 17 ff. SchKG zu verwechseln.</w:t>
      </w:r>
    </w:p>
    <w:p>
      <w:r>
        <w:t>Die Beschwerde enthält offensichtlich keine hinreichende Begründung. Das präsidierende Mitglied der Abteilung tritt auf sie im vereinfachten Verfahren nicht ein (Art. 117 i.V.m. Art. 108 Abs. 1 lit. b BGG ).</w:t>
      </w:r>
    </w:p>
    <w:p>
      <w:r>
        <w:rPr>
          <w:b/>
        </w:rPr>
        <w:t>E. 3</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