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5D_109/2020 vom 11. Juni 2020</w:t>
      </w:r>
    </w:p>
    <w:p>
      <w:r>
        <w:t>Bundesgericht, 2020-06-11, FR</w:t>
      </w:r>
    </w:p>
    <w:p>
      <w:r>
        <w:rPr>
          <w:b/>
        </w:rPr>
        <w:t xml:space="preserve">Quelle: </w:t>
      </w:r>
      <w:r>
        <w:t>https://mcp.opencaselaw.ch/entscheid/bger_5D_109_2020</w:t>
      </w:r>
    </w:p>
    <w:p>
      <w:r>
        <w:t>FR: TF 5D_109/2020 du 11 juin 2020</w:t>
      </w:r>
    </w:p>
    <w:p>
      <w:r>
        <w:t>IT: TF 5D_109/2020 del 11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22 avril 2020, la IIe Cour d'appel civil du Tribunal cantonal de l'État de Fribourg a rejeté le recours interjeté le 11 mars 2020 par A.________ à l'encontre de la décision rendue le 18 février 2020 par la Présidente du Tribunal civil de l'arrondissement de la Gruyère prononçant la mainlevée définitive de l'opposition formée par A.________ au commandement de payer qui lui a été notifié à l'instance de l'État de Vaud, pour un montant de 1'100 fr. en capital plus accessoires.</w:t>
      </w:r>
    </w:p>
    <w:p>
      <w:r>
        <w:rPr>
          <w:b/>
        </w:rPr>
        <w:t>E. 2</w:t>
      </w:r>
    </w:p>
    <w:p>
      <w:r>
        <w:t>Par acte du 3 juin 2020, A.________ exerce un recours en matière civile au Tribunal fédéral, concluant à l'annulation de l'arrêt déféré et au maintien de son opposition.</w:t>
      </w:r>
    </w:p>
    <w:p>
      <w:r>
        <w:t>Eu égard à la la valeur litigieuse très nettement inférieure au seuil légal de 30'000 fr. ( art. 74 al. 1 let. b LTF ) et en l'absence de question juridique de principe - nonobstant l'affirmation du recourant, qui ne développe par ailleurs nullement ce point - ( art. 74 al. 2 let. a LTF ; ATF 141 III 159 consid. 1.2 et les arrêts cités), le présent recours doit être traité en tant que recours constitutionnel subsidiaire au sens des art. 113 ss LTF .</w:t>
      </w:r>
    </w:p>
    <w:p>
      <w:r>
        <w:t>Dans son écriture, le recourant se plaint, sans développement, d'une part, de ce que l'intimé n'a pas été invité à se déterminer sur son recours cantonal et qualifie ce procédé d' « anti-constitutionnel », d'autre part, de la mise à sa charge de l'entier des frais judiciaires alors que la mainlevée n'aurait pas été prononcée pour tous les accessoires, ce qui serait constitutif d'un « abus de droit », d'un « abus de pouvoir » et d'une « constatation inexacte des faits ». Il rappelle en outre que sa cause ferait partie « de l'énorme escroquerie politico-judiciaire » réalisée à son encontre depuis plus de 25 ans et que le juge cantonal ne disposait ainsi pas de l'impartialité et de l'indépendance nécessaires.</w:t>
      </w:r>
    </w:p>
    <w:p>
      <w:r>
        <w:t>En l'occurrence, le recourant présente succinctement sa propre appréciation de la cause et, bien qu'il se réfère implicitement à des garanties constitutionnelles, il ne discute pas, et a fortiori ne démontre pas avec la clarté et la précision attachée aux griefs de droit constitutionnel, en quoi le raisonnement de la décision cantonale querellée serait contraire à l'un de ses droits fondamentaux ou à la Constitution. Il s'ensuit que le présent recours, qui ne correspond pas aux exigences accrues de motivation de l' art. 106 al. 2 LTF , par renvoi de l' art. 117 LTF , doit être déclaré d'emblée irrecevable.</w:t>
      </w:r>
    </w:p>
    <w:p>
      <w:r>
        <w:rPr>
          <w:b/>
        </w:rPr>
        <w:t>E. 3</w:t>
      </w:r>
    </w:p>
    <w:p>
      <w:r>
        <w:t>En conclusion, le recours doit être déclaré d'emblée irrecevable selon la procédure simplifiée prévue à l' art. 108 al. 1 let. b LTF , par renvoi de l' art. 117 LTF , aux frais du recourant qui succombe ( art. 66 al. 1 LTF ).</w:t>
      </w:r>
    </w:p>
    <w:p>
      <w:r>
        <w:t>Toute nouvelle écriture du même genre dans cette affaire, notamment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