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5D_109/2018 vom 18. Juni 2018</w:t>
      </w:r>
    </w:p>
    <w:p>
      <w:r>
        <w:t>Bundesgericht, 2018-06-18, IT</w:t>
      </w:r>
    </w:p>
    <w:p>
      <w:r>
        <w:rPr>
          <w:b/>
        </w:rPr>
        <w:t xml:space="preserve">Quelle: </w:t>
      </w:r>
      <w:r>
        <w:t>https://mcp.opencaselaw.ch/entscheid/bger_5D_109_2018</w:t>
      </w:r>
    </w:p>
    <w:p>
      <w:r>
        <w:t>FR: TF 5D_109/2018 du 18 juin 2018</w:t>
      </w:r>
    </w:p>
    <w:p>
      <w:r>
        <w:t>IT: TF 5D_109/2018 del 18 giugno 2018</w:t>
      </w:r>
    </w:p>
    <w:p>
      <w:pPr>
        <w:pStyle w:val="Heading2"/>
      </w:pPr>
      <w:r>
        <w:t>Erwägungen</w:t>
      </w:r>
    </w:p>
    <w:p>
      <w:r>
        <w:rPr>
          <w:b/>
        </w:rPr>
        <w:t>E. 1</w:t>
      </w:r>
    </w:p>
    <w:p>
      <w:r>
        <w:t>B.________SA ha escusso A.________ per l'incasso di fr. 519.-- oltre interessi. Con decisione 23 aprile 2018 il Giudice di pace del Circolo di Bellinzona ha rigettato in via provvisoria l'opposizione interposta dall'escusso al precetto esecutivo limitatamente a fr. 519.-- (ad esclusione delle spese esecutive) oltre interessi.</w:t>
      </w:r>
    </w:p>
    <w:p>
      <w:r>
        <w:t>Con sentenza 8 maggio 2018 la Camera di esecuzione e fallimenti del Tribunale d'appello del Cantone Ticino ha respinto il reclamo presentato da A.________ avverso la decisione pretorile, osservando che il rimedio non conteneva alcuna motivazione, che la domanda di concessione di tempo supplementare per presentare tale motivazione non poteva essere accolta (v. art. 144 cpv. 1 CPC e 33 cpv. 1 LEF) e che non erano realizzate le condizioni per una restituzione del termine di reclamo (v. art. 148 CPC , rispettivamente art. 33 cpv. 4 LEF ).</w:t>
      </w:r>
    </w:p>
    <w:p>
      <w:r>
        <w:rPr>
          <w:b/>
        </w:rPr>
        <w:t>E. 2</w:t>
      </w:r>
    </w:p>
    <w:p>
      <w:r>
        <w:t>Con ricorso 8 giugno 2018 A.________ ha impugnato la sentenza cantonale dinanzi al Tribunale federale affinché " il caso sia ridiscusso serenamente tramite il giudice di pace di Bellinzona ".</w:t>
      </w:r>
    </w:p>
    <w:p>
      <w:r>
        <w:t>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Il rimedio all'esame manifestamente non soddisfa le esigenze di motivazione dei combinati art. 117 e 106 cpv. 2 LTF : a parte apoditticamente riferirsi ad un non meglio precisato " diritto fondamentale di poter contestare una decisione ", il ricorrente non si prevale infatti di alcuna lesione di garanzie costituzionali.</w:t>
      </w:r>
    </w:p>
    <w:p>
      <w:r>
        <w:rPr>
          <w:b/>
        </w:rPr>
        <w:t>E. 4</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100.-- sono poste a carico del ricorrente.</w:t>
      </w:r>
    </w:p>
    <w:p>
      <w:r>
        <w:t>3.</w:t>
      </w:r>
    </w:p>
    <w:p>
      <w:r>
        <w:t>Comunicazione alle parti e alla Camera di esecuzione e fallimenti del Tribunale d'appello del Cantone Ticino.</w:t>
      </w:r>
    </w:p>
    <w:p>
      <w:r>
        <w:t>Losanna, 18 giugno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