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5D_108/2023 vom 3. Juli 2023</w:t>
      </w:r>
    </w:p>
    <w:p>
      <w:r>
        <w:t>Bundesgericht, 2023-07-03, DE</w:t>
      </w:r>
    </w:p>
    <w:p>
      <w:r>
        <w:rPr>
          <w:b/>
        </w:rPr>
        <w:t xml:space="preserve">Quelle: </w:t>
      </w:r>
      <w:r>
        <w:t>https://mcp.opencaselaw.ch/entscheid/bger_5D_108_2023</w:t>
      </w:r>
    </w:p>
    <w:p>
      <w:r>
        <w:t>FR: TF 5D_108/2023 du 3 juillet 2023</w:t>
      </w:r>
    </w:p>
    <w:p>
      <w:r>
        <w:t>IT: TF 5D_108/2023 del 3 luglio 2023</w:t>
      </w:r>
    </w:p>
    <w:p>
      <w:pPr>
        <w:pStyle w:val="Heading2"/>
      </w:pPr>
      <w:r>
        <w:t>Erwägungen</w:t>
      </w:r>
    </w:p>
    <w:p>
      <w:r>
        <w:rPr>
          <w:b/>
        </w:rPr>
        <w:t>E. 1</w:t>
      </w:r>
    </w:p>
    <w:p>
      <w:r>
        <w:t>Für die Vorgeschichte ist auf das Urteil 5D_60/2023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