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5D_107/2022 vom 4. August 2022</w:t>
      </w:r>
    </w:p>
    <w:p>
      <w:r>
        <w:t>Bundesgericht, 2022-08-04, DE</w:t>
      </w:r>
    </w:p>
    <w:p>
      <w:r>
        <w:rPr>
          <w:b/>
        </w:rPr>
        <w:t xml:space="preserve">Quelle: </w:t>
      </w:r>
      <w:r>
        <w:t>https://mcp.opencaselaw.ch/entscheid/bger_5D_107_2022</w:t>
      </w:r>
    </w:p>
    <w:p>
      <w:r>
        <w:t>FR: TF 5D_107/2022 du 4 août 2022</w:t>
      </w:r>
    </w:p>
    <w:p>
      <w:r>
        <w:t>IT: TF 5D_107/2022 del 4 agosto 2022</w:t>
      </w:r>
    </w:p>
    <w:p>
      <w:pPr>
        <w:pStyle w:val="Heading2"/>
      </w:pPr>
      <w:r>
        <w:t>Erwägungen</w:t>
      </w:r>
    </w:p>
    <w:p>
      <w:r>
        <w:rPr>
          <w:b/>
        </w:rPr>
        <w:t>E. 1</w:t>
      </w:r>
    </w:p>
    <w:p>
      <w:r>
        <w:t>Angefochten ist ein obergerichtlicher Rechtsöffnungsentscheid mit einem Streitwert von weniger als Fr. 30'000.--. Damit steht die Beschwerde in Zivilsachen nicht offen (vgl. Art. 74 Abs. 1 lit. b BGG ), sondern vielmehr die subsidiäre Verfassungsbeschwerde ( Art. 113 BGG ), mit welcher einzig die Verletzung verfassungsmässiger Rechte gerügt werden kann ( Art. 116 BGG ), wofür das strenge Rügeprinzip gilt (Art. 106 Abs. 2 i.V.m. Art. 117 BGG ).</w:t>
      </w:r>
    </w:p>
    <w:p>
      <w:r>
        <w:rPr>
          <w:b/>
        </w:rPr>
        <w:t>E. 2</w:t>
      </w:r>
    </w:p>
    <w:p>
      <w:r>
        <w:t>In seiner weitschweifigen Eingabe äussert sich der Beschwerdeführer nicht zu den Erwägungen des angefochtenen Urteils und schon gar nicht zeigt er auf, inwiefern mit diesem verfassungsmässige Rechte verletzt worden wären (langwierige Äusserungen zur Geschichte seiner Firma; Behaupten von systematischen Verbrechen gegen die Menschlichkeit, indem er keine Steuerschulden habe und der Staat es sich zur Aufgabe gemacht habe, ihn lebenslang zu verfolgen und in Schuldknechtschaft zu treiben).</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