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5D_107/2021 vom 1. Juni 2021</w:t>
      </w:r>
    </w:p>
    <w:p>
      <w:r>
        <w:t>Bundesgericht, 2021-06-01, DE</w:t>
      </w:r>
    </w:p>
    <w:p>
      <w:r>
        <w:rPr>
          <w:b/>
        </w:rPr>
        <w:t xml:space="preserve">Quelle: </w:t>
      </w:r>
      <w:r>
        <w:t>https://mcp.opencaselaw.ch/entscheid/bger_5D_107_2021</w:t>
      </w:r>
    </w:p>
    <w:p>
      <w:r>
        <w:t>FR: TF 5D_107/2021 du 1 juin 2021</w:t>
      </w:r>
    </w:p>
    <w:p>
      <w:r>
        <w:t>IT: TF 5D_107/2021 del 1 giugno 2021</w:t>
      </w:r>
    </w:p>
    <w:p>
      <w:pPr>
        <w:pStyle w:val="Heading2"/>
      </w:pPr>
      <w:r>
        <w:t>Erwägungen</w:t>
      </w:r>
    </w:p>
    <w:p>
      <w:r>
        <w:rPr>
          <w:b/>
        </w:rPr>
        <w:t>E. 1</w:t>
      </w:r>
    </w:p>
    <w:p>
      <w:r>
        <w:t>Der Streitwert beträgt weniger als Fr. 30'000.--, weshalb die Beschwerde in Zivilsachen nicht gegeben ist ( Art. 74 Abs. 1 lit. b BGG ), sondern nur die subsidiäre Verfassungsbeschwerde zur Verfügung steht ( Art. 113 BGG ). Mit dieser kann einzig die Verletzung verfassungsmässiger Rechte gerügt werden ( Art. 116 BGG ), wofür das strenge Rügeprinzip gilt (Art. 106 Abs. 2 i.V.m. Art. 117 BGG ).</w:t>
      </w:r>
    </w:p>
    <w:p>
      <w:r>
        <w:rPr>
          <w:b/>
        </w:rPr>
        <w:t>E. 2</w:t>
      </w:r>
    </w:p>
    <w:p>
      <w:r>
        <w:t>Der Beschwerdeführer erhebt keine Verfassungsrügen, auch nicht dem Sinn nach, sondern er beschränkt sich auf die Aussage, er sei am 3. Juli 2012 erwiesenermassen kastriert, geschändet und hinterzogen worden, weshalb er in diesem judaischen Nazistaat keine Pflichten schuldig sei.</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Appellationsgericht des Kantons Basel-Stadt schriftlich mitgeteilt.</w:t>
      </w:r>
    </w:p>
    <w:p>
      <w:r>
        <w:t>Lausanne, 1. Juni 2021</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